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1920" w:firstLineChars="600"/>
        <w:rPr>
          <w:rFonts w:hint="eastAsia" w:ascii="方正小标宋简体" w:hAnsi="方正小标宋简体" w:eastAsia="方正小标宋简体" w:cs="方正小标宋简体"/>
          <w:b w:val="0"/>
          <w:sz w:val="32"/>
          <w:szCs w:val="32"/>
          <w:u w:val="none"/>
        </w:rPr>
      </w:pPr>
      <w:bookmarkStart w:id="0" w:name="_GoBack"/>
      <w:bookmarkEnd w:id="0"/>
      <w:r>
        <w:rPr>
          <w:rFonts w:hint="eastAsia" w:ascii="方正小标宋简体" w:hAnsi="方正小标宋简体" w:eastAsia="方正小标宋简体" w:cs="方正小标宋简体"/>
          <w:b w:val="0"/>
          <w:sz w:val="32"/>
          <w:szCs w:val="32"/>
          <w:u w:val="none"/>
          <w:lang w:eastAsia="zh-CN"/>
        </w:rPr>
        <w:t>湖北</w:t>
      </w:r>
      <w:r>
        <w:rPr>
          <w:rFonts w:hint="eastAsia" w:ascii="方正小标宋简体" w:hAnsi="方正小标宋简体" w:eastAsia="方正小标宋简体" w:cs="方正小标宋简体"/>
          <w:b w:val="0"/>
          <w:sz w:val="32"/>
          <w:szCs w:val="32"/>
          <w:u w:val="none"/>
        </w:rPr>
        <w:t>银行基金代理销售服务协议</w:t>
      </w:r>
    </w:p>
    <w:p>
      <w:pPr>
        <w:spacing w:line="360" w:lineRule="auto"/>
        <w:rPr>
          <w:rFonts w:ascii="宋体" w:hAnsi="宋体" w:eastAsia="宋体" w:cs="宋体"/>
          <w:b w:val="0"/>
          <w:sz w:val="24"/>
          <w:u w:val="none"/>
        </w:rPr>
      </w:pPr>
      <w:r>
        <w:rPr>
          <w:rFonts w:hint="eastAsia" w:ascii="宋体" w:hAnsi="宋体" w:eastAsia="宋体" w:cs="宋体"/>
          <w:b w:val="0"/>
          <w:sz w:val="24"/>
          <w:u w:val="none"/>
          <w:lang w:eastAsia="zh-CN"/>
        </w:rPr>
        <w:t>湖北</w:t>
      </w:r>
      <w:r>
        <w:rPr>
          <w:rFonts w:ascii="宋体" w:hAnsi="宋体" w:eastAsia="宋体" w:cs="宋体"/>
          <w:b w:val="0"/>
          <w:sz w:val="24"/>
          <w:u w:val="none"/>
        </w:rPr>
        <w:t>银行(以下简称甲方)与申请人(以下简称乙方)就乙方委托甲方办理基金交易签订如下协议：</w:t>
      </w:r>
    </w:p>
    <w:p>
      <w:pPr>
        <w:spacing w:line="360" w:lineRule="auto"/>
        <w:rPr>
          <w:rFonts w:ascii="宋体" w:hAnsi="宋体" w:eastAsia="宋体" w:cs="宋体"/>
          <w:b w:val="0"/>
          <w:sz w:val="24"/>
          <w:highlight w:val="none"/>
          <w:u w:val="none"/>
        </w:rPr>
      </w:pPr>
      <w:r>
        <w:rPr>
          <w:rFonts w:ascii="宋体" w:hAnsi="宋体" w:eastAsia="宋体" w:cs="宋体"/>
          <w:b w:val="0"/>
          <w:sz w:val="24"/>
          <w:highlight w:val="none"/>
          <w:u w:val="none"/>
        </w:rPr>
        <w:t>一、甲方接受基金管理人的委托，通过甲方营业机构柜台、</w:t>
      </w:r>
      <w:r>
        <w:rPr>
          <w:rFonts w:hint="eastAsia" w:ascii="宋体" w:hAnsi="宋体" w:eastAsia="宋体" w:cs="宋体"/>
          <w:b w:val="0"/>
          <w:sz w:val="24"/>
          <w:highlight w:val="none"/>
          <w:u w:val="none"/>
          <w:lang w:eastAsia="zh-CN"/>
        </w:rPr>
        <w:t>手机银行、智能柜台</w:t>
      </w:r>
      <w:r>
        <w:rPr>
          <w:rFonts w:ascii="宋体" w:hAnsi="宋体" w:eastAsia="宋体" w:cs="宋体"/>
          <w:b w:val="0"/>
          <w:sz w:val="24"/>
          <w:highlight w:val="none"/>
          <w:u w:val="none"/>
        </w:rPr>
        <w:t>、网上银行等渠道为乙方提供基金份额认购、申购、赎回以及相应资金收付服务。</w:t>
      </w:r>
    </w:p>
    <w:p>
      <w:pPr>
        <w:spacing w:line="360" w:lineRule="auto"/>
        <w:rPr>
          <w:rFonts w:hint="eastAsia" w:ascii="宋体" w:hAnsi="宋体" w:eastAsia="宋体" w:cs="宋体"/>
          <w:b w:val="0"/>
          <w:sz w:val="24"/>
          <w:highlight w:val="none"/>
          <w:u w:val="none"/>
        </w:rPr>
      </w:pPr>
      <w:r>
        <w:rPr>
          <w:rFonts w:ascii="宋体" w:hAnsi="宋体" w:eastAsia="宋体" w:cs="宋体"/>
          <w:b w:val="0"/>
          <w:sz w:val="24"/>
          <w:highlight w:val="none"/>
          <w:u w:val="none"/>
        </w:rPr>
        <w:t>二、</w:t>
      </w:r>
      <w:r>
        <w:rPr>
          <w:rFonts w:hint="eastAsia" w:ascii="宋体" w:hAnsi="宋体" w:eastAsia="宋体" w:cs="宋体"/>
          <w:b w:val="0"/>
          <w:sz w:val="24"/>
          <w:highlight w:val="none"/>
          <w:u w:val="none"/>
        </w:rPr>
        <w:t>乙方资金须为本人合法拥有的资产，资金的来源和用途应符合国家有关法律法规的规定，资金未被设置任何可能涉及第三方权利主张的限制或瑕疵。</w:t>
      </w:r>
    </w:p>
    <w:p>
      <w:pPr>
        <w:spacing w:line="360" w:lineRule="auto"/>
        <w:rPr>
          <w:rFonts w:ascii="宋体" w:hAnsi="宋体" w:eastAsia="宋体" w:cs="宋体"/>
          <w:b w:val="0"/>
          <w:sz w:val="24"/>
          <w:highlight w:val="none"/>
          <w:u w:val="none"/>
        </w:rPr>
      </w:pPr>
      <w:r>
        <w:rPr>
          <w:rFonts w:hint="eastAsia" w:ascii="宋体" w:hAnsi="宋体" w:eastAsia="宋体" w:cs="宋体"/>
          <w:b w:val="0"/>
          <w:sz w:val="24"/>
          <w:highlight w:val="none"/>
          <w:u w:val="none"/>
          <w:lang w:eastAsia="zh-CN"/>
        </w:rPr>
        <w:t>三、</w:t>
      </w:r>
      <w:r>
        <w:rPr>
          <w:rFonts w:hint="eastAsia" w:ascii="宋体" w:hAnsi="宋体" w:eastAsia="宋体" w:cs="宋体"/>
          <w:b w:val="0"/>
          <w:sz w:val="24"/>
          <w:highlight w:val="none"/>
          <w:u w:val="none"/>
        </w:rPr>
        <w:t>乙方在购买基金前应参阅相关的《基金合同》、《招募说明书》等法律文件，以便充分认识和了解基金的交易规则及各种风险。甲方作为代理销售机构，对基金管理人的经营管理行为不承担法律责任，对基金的业绩不承担担保责任；乙方所购买的产品出现问题时请与基金管理人进行沟通或投诉。</w:t>
      </w:r>
    </w:p>
    <w:p>
      <w:pPr>
        <w:spacing w:line="360" w:lineRule="auto"/>
        <w:rPr>
          <w:rFonts w:ascii="宋体" w:hAnsi="宋体" w:eastAsia="宋体" w:cs="宋体"/>
          <w:b w:val="0"/>
          <w:sz w:val="24"/>
          <w:highlight w:val="none"/>
          <w:u w:val="none"/>
        </w:rPr>
      </w:pPr>
      <w:r>
        <w:rPr>
          <w:rFonts w:hint="eastAsia" w:ascii="宋体" w:hAnsi="宋体" w:eastAsia="宋体" w:cs="宋体"/>
          <w:b w:val="0"/>
          <w:sz w:val="24"/>
          <w:highlight w:val="none"/>
          <w:u w:val="none"/>
          <w:lang w:eastAsia="zh-CN"/>
        </w:rPr>
        <w:t>四、</w:t>
      </w:r>
      <w:r>
        <w:rPr>
          <w:rFonts w:ascii="宋体" w:hAnsi="宋体" w:eastAsia="宋体" w:cs="宋体"/>
          <w:b w:val="0"/>
          <w:sz w:val="24"/>
          <w:highlight w:val="none"/>
          <w:u w:val="none"/>
        </w:rPr>
        <w:t>甲方根据基金合同和招募说明书规定的费率及相关费率优惠公告</w:t>
      </w:r>
      <w:r>
        <w:rPr>
          <w:rFonts w:hint="eastAsia" w:ascii="宋体" w:hAnsi="宋体" w:eastAsia="宋体" w:cs="宋体"/>
          <w:b w:val="0"/>
          <w:sz w:val="24"/>
          <w:highlight w:val="none"/>
          <w:u w:val="none"/>
          <w:lang w:eastAsia="zh-CN"/>
        </w:rPr>
        <w:t>，</w:t>
      </w:r>
      <w:r>
        <w:rPr>
          <w:rFonts w:ascii="宋体" w:hAnsi="宋体" w:eastAsia="宋体" w:cs="宋体"/>
          <w:b w:val="0"/>
          <w:sz w:val="24"/>
          <w:highlight w:val="none"/>
          <w:u w:val="none"/>
        </w:rPr>
        <w:t>代基金公司向乙方收取相关费用。</w:t>
      </w:r>
    </w:p>
    <w:p>
      <w:pPr>
        <w:spacing w:line="360" w:lineRule="auto"/>
        <w:rPr>
          <w:rFonts w:hint="eastAsia" w:ascii="宋体" w:hAnsi="宋体" w:eastAsia="宋体" w:cs="宋体"/>
          <w:b w:val="0"/>
          <w:sz w:val="24"/>
          <w:highlight w:val="none"/>
          <w:u w:val="none"/>
        </w:rPr>
      </w:pPr>
      <w:r>
        <w:rPr>
          <w:rFonts w:hint="eastAsia" w:ascii="宋体" w:hAnsi="宋体" w:eastAsia="宋体" w:cs="宋体"/>
          <w:b w:val="0"/>
          <w:sz w:val="24"/>
          <w:highlight w:val="none"/>
          <w:u w:val="none"/>
          <w:lang w:eastAsia="zh-CN"/>
        </w:rPr>
        <w:t>五、</w:t>
      </w:r>
      <w:r>
        <w:rPr>
          <w:rFonts w:hint="eastAsia" w:ascii="宋体" w:hAnsi="宋体" w:eastAsia="宋体" w:cs="宋体"/>
          <w:b w:val="0"/>
          <w:sz w:val="24"/>
          <w:highlight w:val="none"/>
          <w:u w:val="none"/>
        </w:rPr>
        <w:t>乙方须以实名向甲方申请办理基金业务，甲方依据乙方提供的资料为</w:t>
      </w:r>
      <w:r>
        <w:rPr>
          <w:rFonts w:hint="eastAsia" w:ascii="宋体" w:hAnsi="宋体" w:eastAsia="宋体" w:cs="宋体"/>
          <w:b w:val="0"/>
          <w:sz w:val="24"/>
          <w:highlight w:val="none"/>
          <w:u w:val="none"/>
          <w:lang w:eastAsia="zh-CN"/>
        </w:rPr>
        <w:t>乙</w:t>
      </w:r>
      <w:r>
        <w:rPr>
          <w:rFonts w:hint="eastAsia" w:ascii="宋体" w:hAnsi="宋体" w:eastAsia="宋体" w:cs="宋体"/>
          <w:b w:val="0"/>
          <w:sz w:val="24"/>
          <w:highlight w:val="none"/>
          <w:u w:val="none"/>
        </w:rPr>
        <w:t>方进行客户资料登记。乙方所提供和填写的资料必须真实、合法、有效。乙方姓名、身份证件类型及号码、地址、联系方式、借记卡号及其账户信息等相关资料发生变更时，应及时前往甲方业务办理网点办理变更手续。因乙方留存信息有误或未及时办理变更手续导致的不利后果由乙方承担。</w:t>
      </w:r>
    </w:p>
    <w:p>
      <w:pPr>
        <w:spacing w:line="360" w:lineRule="auto"/>
        <w:rPr>
          <w:rFonts w:hint="eastAsia" w:ascii="宋体" w:hAnsi="宋体" w:eastAsia="宋体" w:cs="宋体"/>
          <w:b w:val="0"/>
          <w:sz w:val="24"/>
          <w:highlight w:val="none"/>
          <w:u w:val="none"/>
        </w:rPr>
      </w:pPr>
      <w:r>
        <w:rPr>
          <w:rFonts w:hint="eastAsia" w:ascii="宋体" w:hAnsi="宋体" w:eastAsia="宋体" w:cs="宋体"/>
          <w:b w:val="0"/>
          <w:sz w:val="24"/>
          <w:highlight w:val="none"/>
          <w:u w:val="none"/>
          <w:lang w:eastAsia="zh-CN"/>
        </w:rPr>
        <w:t>六、</w:t>
      </w:r>
      <w:r>
        <w:rPr>
          <w:rFonts w:hint="eastAsia" w:ascii="宋体" w:hAnsi="宋体" w:eastAsia="宋体" w:cs="宋体"/>
          <w:b w:val="0"/>
          <w:sz w:val="24"/>
          <w:highlight w:val="none"/>
          <w:u w:val="none"/>
        </w:rPr>
        <w:t>首次申请时，乙方须填写《个人客户风险承受能力评估问卷》，并提供其本人的湖北银行借记卡/活期存款账户，借记卡/活期存款账户作为乙方从事基金有关业务的资金结算账户。乙方凭本人借记卡/活期存款账户在甲方开办基金代销业务的渠道办理交易委托、查询等业务。</w:t>
      </w:r>
    </w:p>
    <w:p>
      <w:pPr>
        <w:spacing w:line="360" w:lineRule="auto"/>
        <w:rPr>
          <w:rFonts w:hint="eastAsia" w:ascii="宋体" w:hAnsi="宋体" w:eastAsia="宋体" w:cs="宋体"/>
          <w:b w:val="0"/>
          <w:sz w:val="24"/>
          <w:highlight w:val="none"/>
          <w:u w:val="none"/>
        </w:rPr>
      </w:pPr>
      <w:r>
        <w:rPr>
          <w:rFonts w:hint="eastAsia" w:ascii="宋体" w:hAnsi="宋体" w:eastAsia="宋体" w:cs="宋体"/>
          <w:b w:val="0"/>
          <w:sz w:val="24"/>
          <w:highlight w:val="none"/>
          <w:u w:val="none"/>
          <w:lang w:eastAsia="zh-CN"/>
        </w:rPr>
        <w:t>七</w:t>
      </w:r>
      <w:r>
        <w:rPr>
          <w:rFonts w:ascii="宋体" w:hAnsi="宋体" w:eastAsia="宋体" w:cs="宋体"/>
          <w:b w:val="0"/>
          <w:sz w:val="24"/>
          <w:highlight w:val="none"/>
          <w:u w:val="none"/>
        </w:rPr>
        <w:t>、</w:t>
      </w:r>
      <w:r>
        <w:rPr>
          <w:rFonts w:hint="eastAsia" w:ascii="宋体" w:hAnsi="宋体" w:eastAsia="宋体" w:cs="宋体"/>
          <w:b w:val="0"/>
          <w:sz w:val="24"/>
          <w:highlight w:val="none"/>
          <w:u w:val="none"/>
        </w:rPr>
        <w:t>甲方仅负责将乙方的申请文件和交易指令传送给基金管理人和注册登记机构，申请文件和交易指令的最终确认与执行由基金管理人和注册登记机构负责，甲方不承担确保交易申请成功的责任，不承担因基金管理人委托的基金注册登记机构系统故障给甲方造成的损失。</w:t>
      </w:r>
    </w:p>
    <w:p>
      <w:pPr>
        <w:spacing w:line="360" w:lineRule="auto"/>
        <w:rPr>
          <w:rFonts w:ascii="宋体" w:hAnsi="宋体" w:eastAsia="宋体" w:cs="宋体"/>
          <w:b w:val="0"/>
          <w:sz w:val="24"/>
          <w:highlight w:val="none"/>
          <w:u w:val="none"/>
        </w:rPr>
      </w:pPr>
      <w:r>
        <w:rPr>
          <w:rFonts w:hint="eastAsia" w:ascii="宋体" w:hAnsi="宋体" w:eastAsia="宋体" w:cs="宋体"/>
          <w:b w:val="0"/>
          <w:sz w:val="24"/>
          <w:highlight w:val="none"/>
          <w:u w:val="none"/>
          <w:lang w:eastAsia="zh-CN"/>
        </w:rPr>
        <w:t>八、</w:t>
      </w:r>
      <w:r>
        <w:rPr>
          <w:rFonts w:ascii="宋体" w:hAnsi="宋体" w:eastAsia="宋体" w:cs="宋体"/>
          <w:b w:val="0"/>
          <w:sz w:val="24"/>
          <w:highlight w:val="none"/>
          <w:u w:val="none"/>
        </w:rPr>
        <w:t>甲方应对乙方的资料和基金交易情况保密。</w:t>
      </w:r>
    </w:p>
    <w:p>
      <w:pPr>
        <w:spacing w:line="360" w:lineRule="auto"/>
        <w:rPr>
          <w:rFonts w:ascii="宋体" w:hAnsi="宋体" w:eastAsia="宋体" w:cs="宋体"/>
          <w:b w:val="0"/>
          <w:sz w:val="24"/>
          <w:highlight w:val="none"/>
          <w:u w:val="none"/>
        </w:rPr>
      </w:pPr>
      <w:r>
        <w:rPr>
          <w:rFonts w:hint="eastAsia" w:ascii="宋体" w:hAnsi="宋体" w:eastAsia="宋体" w:cs="宋体"/>
          <w:b w:val="0"/>
          <w:sz w:val="24"/>
          <w:highlight w:val="none"/>
          <w:u w:val="none"/>
          <w:lang w:eastAsia="zh-CN"/>
        </w:rPr>
        <w:t>九</w:t>
      </w:r>
      <w:r>
        <w:rPr>
          <w:rFonts w:ascii="宋体" w:hAnsi="宋体" w:eastAsia="宋体" w:cs="宋体"/>
          <w:b w:val="0"/>
          <w:sz w:val="24"/>
          <w:highlight w:val="none"/>
          <w:u w:val="none"/>
        </w:rPr>
        <w:t>、乙方确认在甲方柜台、</w:t>
      </w:r>
      <w:r>
        <w:rPr>
          <w:rFonts w:hint="eastAsia" w:ascii="宋体" w:hAnsi="宋体" w:eastAsia="宋体" w:cs="宋体"/>
          <w:b w:val="0"/>
          <w:sz w:val="24"/>
          <w:highlight w:val="none"/>
          <w:u w:val="none"/>
          <w:lang w:eastAsia="zh-CN"/>
        </w:rPr>
        <w:t>智能柜台</w:t>
      </w:r>
      <w:r>
        <w:rPr>
          <w:rFonts w:ascii="宋体" w:hAnsi="宋体" w:eastAsia="宋体" w:cs="宋体"/>
          <w:b w:val="0"/>
          <w:sz w:val="24"/>
          <w:highlight w:val="none"/>
          <w:u w:val="none"/>
        </w:rPr>
        <w:t>、</w:t>
      </w:r>
      <w:r>
        <w:rPr>
          <w:rFonts w:hint="eastAsia" w:ascii="宋体" w:hAnsi="宋体" w:eastAsia="宋体" w:cs="宋体"/>
          <w:b w:val="0"/>
          <w:sz w:val="24"/>
          <w:highlight w:val="none"/>
          <w:u w:val="none"/>
          <w:lang w:eastAsia="zh-CN"/>
        </w:rPr>
        <w:t>手机</w:t>
      </w:r>
      <w:r>
        <w:rPr>
          <w:rFonts w:ascii="宋体" w:hAnsi="宋体" w:eastAsia="宋体" w:cs="宋体"/>
          <w:b w:val="0"/>
          <w:sz w:val="24"/>
          <w:highlight w:val="none"/>
          <w:u w:val="none"/>
        </w:rPr>
        <w:t>银行</w:t>
      </w:r>
      <w:r>
        <w:rPr>
          <w:rFonts w:hint="eastAsia" w:ascii="宋体" w:hAnsi="宋体" w:eastAsia="宋体" w:cs="宋体"/>
          <w:b w:val="0"/>
          <w:sz w:val="24"/>
          <w:highlight w:val="none"/>
          <w:u w:val="none"/>
          <w:lang w:eastAsia="zh-CN"/>
        </w:rPr>
        <w:t>、</w:t>
      </w:r>
      <w:r>
        <w:rPr>
          <w:rFonts w:ascii="宋体" w:hAnsi="宋体" w:eastAsia="宋体" w:cs="宋体"/>
          <w:b w:val="0"/>
          <w:sz w:val="24"/>
          <w:highlight w:val="none"/>
          <w:u w:val="none"/>
        </w:rPr>
        <w:t>网上银行等渠道凭交易密码形成的凭证、凭条、交易记录是真实、合法、有效的证据，并可凭有效证件亲自查询交易记录。</w:t>
      </w:r>
    </w:p>
    <w:p>
      <w:pPr>
        <w:spacing w:line="360" w:lineRule="auto"/>
        <w:rPr>
          <w:rFonts w:ascii="宋体" w:hAnsi="宋体" w:eastAsia="宋体" w:cs="宋体"/>
          <w:b w:val="0"/>
          <w:sz w:val="24"/>
          <w:highlight w:val="none"/>
          <w:u w:val="none"/>
        </w:rPr>
      </w:pPr>
      <w:r>
        <w:rPr>
          <w:rFonts w:hint="eastAsia" w:ascii="宋体" w:hAnsi="宋体" w:eastAsia="宋体" w:cs="宋体"/>
          <w:b w:val="0"/>
          <w:sz w:val="24"/>
          <w:highlight w:val="none"/>
          <w:u w:val="none"/>
          <w:lang w:eastAsia="zh-CN"/>
        </w:rPr>
        <w:t>十</w:t>
      </w:r>
      <w:r>
        <w:rPr>
          <w:rFonts w:ascii="宋体" w:hAnsi="宋体" w:eastAsia="宋体" w:cs="宋体"/>
          <w:b w:val="0"/>
          <w:sz w:val="24"/>
          <w:highlight w:val="none"/>
          <w:u w:val="none"/>
        </w:rPr>
        <w:t>、</w:t>
      </w:r>
      <w:r>
        <w:rPr>
          <w:rFonts w:hint="eastAsia" w:ascii="宋体" w:hAnsi="宋体" w:eastAsia="宋体" w:cs="宋体"/>
          <w:b w:val="0"/>
          <w:sz w:val="24"/>
          <w:highlight w:val="none"/>
          <w:u w:val="none"/>
          <w:lang w:eastAsia="zh-CN"/>
        </w:rPr>
        <w:t>甲方于每年度末</w:t>
      </w:r>
      <w:r>
        <w:rPr>
          <w:rFonts w:hint="eastAsia" w:ascii="宋体" w:hAnsi="宋体" w:eastAsia="宋体" w:cs="宋体"/>
          <w:b w:val="0"/>
          <w:sz w:val="24"/>
          <w:highlight w:val="none"/>
          <w:u w:val="none"/>
          <w:lang w:val="en-US" w:eastAsia="zh-CN"/>
        </w:rPr>
        <w:t>12月31日,以短信的方式向乙方发送其通过甲方</w:t>
      </w:r>
      <w:r>
        <w:rPr>
          <w:rFonts w:ascii="宋体" w:hAnsi="宋体" w:eastAsia="宋体" w:cs="宋体"/>
          <w:b w:val="0"/>
          <w:sz w:val="24"/>
          <w:highlight w:val="none"/>
          <w:u w:val="none"/>
        </w:rPr>
        <w:t>营业机构柜台、</w:t>
      </w:r>
      <w:r>
        <w:rPr>
          <w:rFonts w:hint="eastAsia" w:ascii="宋体" w:hAnsi="宋体" w:eastAsia="宋体" w:cs="宋体"/>
          <w:b w:val="0"/>
          <w:sz w:val="24"/>
          <w:highlight w:val="none"/>
          <w:u w:val="none"/>
          <w:lang w:eastAsia="zh-CN"/>
        </w:rPr>
        <w:t>手机银行、智能柜台</w:t>
      </w:r>
      <w:r>
        <w:rPr>
          <w:rFonts w:ascii="宋体" w:hAnsi="宋体" w:eastAsia="宋体" w:cs="宋体"/>
          <w:b w:val="0"/>
          <w:sz w:val="24"/>
          <w:highlight w:val="none"/>
          <w:u w:val="none"/>
        </w:rPr>
        <w:t>、网上银行等渠道</w:t>
      </w:r>
      <w:r>
        <w:rPr>
          <w:rFonts w:hint="eastAsia" w:ascii="宋体" w:hAnsi="宋体" w:eastAsia="宋体" w:cs="宋体"/>
          <w:b w:val="0"/>
          <w:sz w:val="24"/>
          <w:highlight w:val="none"/>
          <w:u w:val="none"/>
          <w:lang w:eastAsia="zh-CN"/>
        </w:rPr>
        <w:t>购买的基金产品保有情况信息</w:t>
      </w:r>
      <w:r>
        <w:rPr>
          <w:rFonts w:ascii="宋体" w:hAnsi="宋体" w:eastAsia="宋体" w:cs="宋体"/>
          <w:b w:val="0"/>
          <w:sz w:val="24"/>
          <w:u w:val="none"/>
        </w:rPr>
        <w:t>。</w:t>
      </w:r>
    </w:p>
    <w:p>
      <w:pPr>
        <w:spacing w:line="360" w:lineRule="auto"/>
        <w:rPr>
          <w:rFonts w:ascii="宋体" w:hAnsi="宋体" w:eastAsia="宋体" w:cs="宋体"/>
          <w:b w:val="0"/>
          <w:sz w:val="24"/>
          <w:u w:val="none"/>
        </w:rPr>
      </w:pPr>
      <w:r>
        <w:rPr>
          <w:rFonts w:hint="eastAsia" w:ascii="宋体" w:hAnsi="宋体" w:eastAsia="宋体" w:cs="宋体"/>
          <w:b w:val="0"/>
          <w:sz w:val="24"/>
          <w:highlight w:val="none"/>
          <w:u w:val="none"/>
          <w:lang w:eastAsia="zh-CN"/>
        </w:rPr>
        <w:t>十一</w:t>
      </w:r>
      <w:r>
        <w:rPr>
          <w:rFonts w:ascii="宋体" w:hAnsi="宋体" w:eastAsia="宋体" w:cs="宋体"/>
          <w:b w:val="0"/>
          <w:sz w:val="24"/>
          <w:highlight w:val="none"/>
          <w:u w:val="none"/>
        </w:rPr>
        <w:t>、如乙方丢失基金交易使用的</w:t>
      </w:r>
      <w:r>
        <w:rPr>
          <w:rFonts w:hint="eastAsia" w:ascii="宋体" w:hAnsi="宋体" w:eastAsia="宋体" w:cs="宋体"/>
          <w:b w:val="0"/>
          <w:sz w:val="24"/>
          <w:highlight w:val="none"/>
          <w:u w:val="none"/>
          <w:lang w:eastAsia="zh-CN"/>
        </w:rPr>
        <w:t>银行</w:t>
      </w:r>
      <w:r>
        <w:rPr>
          <w:rFonts w:ascii="宋体" w:hAnsi="宋体" w:eastAsia="宋体" w:cs="宋体"/>
          <w:b w:val="0"/>
          <w:sz w:val="24"/>
          <w:highlight w:val="none"/>
          <w:u w:val="none"/>
        </w:rPr>
        <w:t>卡、</w:t>
      </w:r>
      <w:r>
        <w:rPr>
          <w:rFonts w:hint="eastAsia" w:ascii="宋体" w:hAnsi="宋体" w:eastAsia="宋体" w:cs="宋体"/>
          <w:b w:val="0"/>
          <w:sz w:val="24"/>
          <w:highlight w:val="none"/>
          <w:u w:val="none"/>
          <w:lang w:eastAsia="zh-CN"/>
        </w:rPr>
        <w:t>湖北银行</w:t>
      </w:r>
      <w:r>
        <w:rPr>
          <w:rFonts w:ascii="宋体" w:hAnsi="宋体" w:eastAsia="宋体" w:cs="宋体"/>
          <w:b w:val="0"/>
          <w:sz w:val="24"/>
          <w:highlight w:val="none"/>
          <w:u w:val="none"/>
        </w:rPr>
        <w:t>活期存款账户或交易密码，应立即到甲方办理挂失手续，如因挂失不及时导致基金交易委托不能正常进行</w:t>
      </w:r>
      <w:r>
        <w:rPr>
          <w:rFonts w:ascii="宋体" w:hAnsi="宋体" w:eastAsia="宋体" w:cs="宋体"/>
          <w:b w:val="0"/>
          <w:sz w:val="24"/>
          <w:u w:val="none"/>
        </w:rPr>
        <w:t>或被他人冒名操作，乙方自行承担责任。</w:t>
      </w:r>
    </w:p>
    <w:p>
      <w:pPr>
        <w:spacing w:line="360" w:lineRule="auto"/>
        <w:rPr>
          <w:rFonts w:ascii="宋体" w:hAnsi="宋体" w:eastAsia="宋体" w:cs="宋体"/>
          <w:b w:val="0"/>
          <w:sz w:val="24"/>
          <w:u w:val="none"/>
        </w:rPr>
      </w:pPr>
      <w:r>
        <w:rPr>
          <w:rFonts w:hint="eastAsia" w:ascii="宋体" w:hAnsi="宋体" w:eastAsia="宋体" w:cs="宋体"/>
          <w:b w:val="0"/>
          <w:sz w:val="24"/>
          <w:u w:val="none"/>
          <w:lang w:eastAsia="zh-CN"/>
        </w:rPr>
        <w:t>十二</w:t>
      </w:r>
      <w:r>
        <w:rPr>
          <w:rFonts w:ascii="宋体" w:hAnsi="宋体" w:eastAsia="宋体" w:cs="宋体"/>
          <w:b w:val="0"/>
          <w:sz w:val="24"/>
          <w:u w:val="none"/>
        </w:rPr>
        <w:t>、本协议适用中华人民共和国有关法律，未尽事宜依据甲方有关业务规定和金融惯例办理。</w:t>
      </w:r>
    </w:p>
    <w:p>
      <w:pPr>
        <w:spacing w:line="360" w:lineRule="auto"/>
        <w:rPr>
          <w:rFonts w:hint="eastAsia" w:ascii="宋体" w:hAnsi="宋体" w:eastAsia="宋体" w:cs="宋体"/>
          <w:b w:val="0"/>
          <w:sz w:val="24"/>
          <w:u w:val="none"/>
          <w:lang w:val="en-US" w:eastAsia="zh-CN"/>
        </w:rPr>
      </w:pPr>
      <w:r>
        <w:rPr>
          <w:rFonts w:ascii="宋体" w:hAnsi="宋体" w:eastAsia="宋体" w:cs="宋体"/>
          <w:b w:val="0"/>
          <w:sz w:val="24"/>
          <w:u w:val="none"/>
        </w:rPr>
        <w:t>十</w:t>
      </w:r>
      <w:r>
        <w:rPr>
          <w:rFonts w:hint="eastAsia" w:ascii="宋体" w:hAnsi="宋体" w:eastAsia="宋体" w:cs="宋体"/>
          <w:b w:val="0"/>
          <w:sz w:val="24"/>
          <w:u w:val="none"/>
          <w:lang w:eastAsia="zh-CN"/>
        </w:rPr>
        <w:t>三</w:t>
      </w:r>
      <w:r>
        <w:rPr>
          <w:rFonts w:ascii="宋体" w:hAnsi="宋体" w:eastAsia="宋体" w:cs="宋体"/>
          <w:b w:val="0"/>
          <w:sz w:val="24"/>
          <w:u w:val="none"/>
        </w:rPr>
        <w:t>、如乙方需进行业务咨询或投诉，请拨打甲方客户服务热线</w:t>
      </w:r>
      <w:r>
        <w:rPr>
          <w:rFonts w:hint="eastAsia" w:ascii="宋体" w:hAnsi="宋体" w:eastAsia="宋体" w:cs="宋体"/>
          <w:b w:val="0"/>
          <w:sz w:val="24"/>
          <w:u w:val="none"/>
          <w:lang w:val="en-US" w:eastAsia="zh-CN"/>
        </w:rPr>
        <w:t>96599。</w:t>
      </w:r>
    </w:p>
    <w:p>
      <w:pPr>
        <w:spacing w:line="360" w:lineRule="auto"/>
        <w:rPr>
          <w:rFonts w:hint="eastAsia" w:ascii="宋体" w:hAnsi="宋体" w:eastAsia="宋体" w:cs="宋体"/>
          <w:b w:val="0"/>
          <w:sz w:val="24"/>
          <w:u w:val="none"/>
          <w:lang w:val="en-US" w:eastAsia="zh-CN"/>
        </w:rPr>
      </w:pPr>
    </w:p>
    <w:p>
      <w:pPr>
        <w:spacing w:line="360" w:lineRule="auto"/>
        <w:rPr>
          <w:rFonts w:hint="eastAsia" w:ascii="宋体" w:hAnsi="宋体" w:eastAsia="宋体" w:cs="宋体"/>
          <w:b w:val="0"/>
          <w:sz w:val="24"/>
          <w:u w:val="none"/>
          <w:lang w:val="en-US" w:eastAsia="zh-CN"/>
        </w:rPr>
      </w:pPr>
    </w:p>
    <w:p>
      <w:pPr>
        <w:spacing w:line="360" w:lineRule="auto"/>
        <w:rPr>
          <w:rFonts w:hint="eastAsia" w:ascii="宋体" w:hAnsi="宋体" w:eastAsia="宋体" w:cs="宋体"/>
          <w:b w:val="0"/>
          <w:sz w:val="24"/>
          <w:u w:val="none"/>
          <w:lang w:val="en-US" w:eastAsia="zh-CN"/>
        </w:rPr>
      </w:pPr>
    </w:p>
    <w:p>
      <w:pPr>
        <w:spacing w:line="360" w:lineRule="auto"/>
        <w:rPr>
          <w:rFonts w:hint="eastAsia" w:ascii="宋体" w:hAnsi="宋体" w:eastAsia="宋体" w:cs="宋体"/>
          <w:b w:val="0"/>
          <w:sz w:val="24"/>
          <w:u w:val="none"/>
          <w:lang w:val="en-US" w:eastAsia="zh-CN"/>
        </w:rPr>
      </w:pPr>
    </w:p>
    <w:p>
      <w:pPr>
        <w:spacing w:line="360" w:lineRule="auto"/>
        <w:rPr>
          <w:rFonts w:hint="eastAsia" w:ascii="宋体" w:hAnsi="宋体" w:eastAsia="宋体" w:cs="宋体"/>
          <w:b w:val="0"/>
          <w:sz w:val="24"/>
          <w:u w:val="none"/>
          <w:lang w:val="en-US" w:eastAsia="zh-CN"/>
        </w:rPr>
      </w:pPr>
    </w:p>
    <w:p>
      <w:pPr>
        <w:spacing w:line="360" w:lineRule="auto"/>
        <w:rPr>
          <w:rFonts w:hint="eastAsia" w:ascii="宋体" w:hAnsi="宋体" w:eastAsia="宋体" w:cs="宋体"/>
          <w:b w:val="0"/>
          <w:sz w:val="24"/>
          <w:u w:val="none"/>
          <w:lang w:val="en-US" w:eastAsia="zh-CN"/>
        </w:rPr>
      </w:pPr>
    </w:p>
    <w:p>
      <w:pPr>
        <w:spacing w:line="360" w:lineRule="auto"/>
        <w:rPr>
          <w:rFonts w:hint="eastAsia" w:ascii="宋体" w:hAnsi="宋体" w:eastAsia="宋体" w:cs="宋体"/>
          <w:b w:val="0"/>
          <w:sz w:val="24"/>
          <w:u w:val="none"/>
          <w:lang w:val="en-US" w:eastAsia="zh-CN"/>
        </w:rPr>
      </w:pPr>
    </w:p>
    <w:p>
      <w:pPr>
        <w:spacing w:line="360" w:lineRule="auto"/>
        <w:rPr>
          <w:rFonts w:ascii="宋体" w:hAnsi="宋体" w:eastAsia="宋体" w:cs="宋体"/>
          <w:b w:val="0"/>
          <w:sz w:val="24"/>
          <w:u w:val="none"/>
        </w:rPr>
      </w:pPr>
    </w:p>
    <w:sectPr>
      <w:pgSz w:w="12240" w:h="15840"/>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noPunctuationKerning w:val="1"/>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000000"/>
    <w:rsid w:val="01CA25F0"/>
    <w:rsid w:val="03AD115D"/>
    <w:rsid w:val="04F84681"/>
    <w:rsid w:val="058B1C7F"/>
    <w:rsid w:val="09A91F73"/>
    <w:rsid w:val="0B143476"/>
    <w:rsid w:val="0C3335B9"/>
    <w:rsid w:val="0E2D6976"/>
    <w:rsid w:val="131011D2"/>
    <w:rsid w:val="139846A2"/>
    <w:rsid w:val="18C462F5"/>
    <w:rsid w:val="1ACE027B"/>
    <w:rsid w:val="1D8F3B92"/>
    <w:rsid w:val="1E562A58"/>
    <w:rsid w:val="1F606D03"/>
    <w:rsid w:val="20A4130F"/>
    <w:rsid w:val="21962A13"/>
    <w:rsid w:val="23385420"/>
    <w:rsid w:val="24313C81"/>
    <w:rsid w:val="26EE3E8D"/>
    <w:rsid w:val="27145B2E"/>
    <w:rsid w:val="288F64A8"/>
    <w:rsid w:val="29225D03"/>
    <w:rsid w:val="2970761C"/>
    <w:rsid w:val="2E941A23"/>
    <w:rsid w:val="2F292EBF"/>
    <w:rsid w:val="30A36F85"/>
    <w:rsid w:val="31A4662E"/>
    <w:rsid w:val="348749C8"/>
    <w:rsid w:val="34DE0DBD"/>
    <w:rsid w:val="39CF4C53"/>
    <w:rsid w:val="40E76AB7"/>
    <w:rsid w:val="49B06E99"/>
    <w:rsid w:val="4D8E3F66"/>
    <w:rsid w:val="4EB2361C"/>
    <w:rsid w:val="4EDD5CD1"/>
    <w:rsid w:val="4EED5316"/>
    <w:rsid w:val="4FB11EA0"/>
    <w:rsid w:val="52D33B66"/>
    <w:rsid w:val="53993A8C"/>
    <w:rsid w:val="53D55FA5"/>
    <w:rsid w:val="553B29B1"/>
    <w:rsid w:val="56ED20CD"/>
    <w:rsid w:val="586C0324"/>
    <w:rsid w:val="60DE6137"/>
    <w:rsid w:val="61924D3F"/>
    <w:rsid w:val="62AD22FF"/>
    <w:rsid w:val="62E11B36"/>
    <w:rsid w:val="63D26158"/>
    <w:rsid w:val="6656276F"/>
    <w:rsid w:val="66F82022"/>
    <w:rsid w:val="6A6A6F94"/>
    <w:rsid w:val="6BAB52C0"/>
    <w:rsid w:val="6E316A00"/>
    <w:rsid w:val="70620998"/>
    <w:rsid w:val="72330DC0"/>
    <w:rsid w:val="742824EC"/>
    <w:rsid w:val="742B171F"/>
    <w:rsid w:val="74964FC1"/>
    <w:rsid w:val="75531E32"/>
    <w:rsid w:val="76D64869"/>
    <w:rsid w:val="76F84BE4"/>
    <w:rsid w:val="777B263A"/>
    <w:rsid w:val="79CB5BF2"/>
    <w:rsid w:val="7A6A3D82"/>
    <w:rsid w:val="7A87068C"/>
    <w:rsid w:val="7D04309A"/>
    <w:rsid w:val="7DF21F33"/>
    <w:rsid w:val="7F2B0EF1"/>
    <w:rsid w:val="7F5026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3">
    <w:name w:val="Default Paragraph Font"/>
    <w:uiPriority w:val="0"/>
  </w:style>
  <w:style w:type="table" w:default="1" w:styleId="2">
    <w:name w:val="Normal Table"/>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671</Words>
  <Characters>683</Characters>
  <Paragraphs>16</Paragraphs>
  <TotalTime>12</TotalTime>
  <ScaleCrop>false</ScaleCrop>
  <LinksUpToDate>false</LinksUpToDate>
  <CharactersWithSpaces>684</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2020-12-22T03:24:00Z</dcterms:created>
  <dc:creator>WPS Office</dc:creator>
  <cp:lastModifiedBy>刘玉平(信息科技部)</cp:lastModifiedBy>
  <cp:lastPrinted>2021-04-08T09:50:00Z</cp:lastPrinted>
  <dcterms:modified xsi:type="dcterms:W3CDTF">2021-06-01T07:44:55Z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