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6"/>
        <w:spacing w:line="276" w:lineRule="auto"/>
        <w:jc w:val="center"/>
        <w:rPr>
          <w:rFonts w:cs="方正小标宋_GBK" w:asciiTheme="minorEastAsia" w:hAnsiTheme="minorEastAsia" w:eastAsiaTheme="minorEastAsia"/>
          <w:bCs/>
          <w:sz w:val="32"/>
          <w:szCs w:val="32"/>
        </w:rPr>
      </w:pPr>
      <w:r>
        <w:rPr>
          <w:rFonts w:hint="eastAsia" w:cs="方正小标宋_GBK" w:asciiTheme="minorEastAsia" w:hAnsiTheme="minorEastAsia" w:eastAsiaTheme="minorEastAsia"/>
          <w:bCs/>
          <w:sz w:val="32"/>
          <w:szCs w:val="32"/>
        </w:rPr>
        <w:t>渝农商理财有限责任公司</w:t>
      </w:r>
    </w:p>
    <w:p>
      <w:pPr>
        <w:pStyle w:val="46"/>
        <w:spacing w:line="276" w:lineRule="auto"/>
        <w:jc w:val="center"/>
        <w:rPr>
          <w:rFonts w:cs="方正小标宋_GBK" w:asciiTheme="minorEastAsia" w:hAnsiTheme="minorEastAsia" w:eastAsiaTheme="minorEastAsia"/>
          <w:bCs/>
          <w:sz w:val="32"/>
          <w:szCs w:val="32"/>
        </w:rPr>
      </w:pPr>
      <w:bookmarkStart w:id="62" w:name="_GoBack"/>
      <w:r>
        <w:rPr>
          <w:rFonts w:hint="eastAsia" w:cs="方正小标宋_GBK" w:asciiTheme="minorEastAsia" w:hAnsiTheme="minorEastAsia" w:eastAsiaTheme="minorEastAsia"/>
          <w:bCs/>
          <w:sz w:val="32"/>
          <w:szCs w:val="32"/>
        </w:rPr>
        <w:t>渝农商理财益进乡村振兴封闭式2025年第42101期</w:t>
      </w:r>
    </w:p>
    <w:bookmarkEnd w:id="62"/>
    <w:p>
      <w:pPr>
        <w:pStyle w:val="46"/>
        <w:spacing w:line="276" w:lineRule="auto"/>
        <w:jc w:val="center"/>
        <w:rPr>
          <w:rFonts w:cs="方正小标宋_GBK" w:asciiTheme="minorEastAsia" w:hAnsiTheme="minorEastAsia" w:eastAsiaTheme="minorEastAsia"/>
          <w:bCs/>
          <w:sz w:val="32"/>
          <w:szCs w:val="32"/>
        </w:rPr>
      </w:pPr>
      <w:r>
        <w:rPr>
          <w:rFonts w:hint="eastAsia" w:cs="方正小标宋_GBK" w:asciiTheme="minorEastAsia" w:hAnsiTheme="minorEastAsia" w:eastAsiaTheme="minorEastAsia"/>
          <w:bCs/>
          <w:sz w:val="32"/>
          <w:szCs w:val="32"/>
        </w:rPr>
        <w:t>风险揭示书</w:t>
      </w:r>
    </w:p>
    <w:p>
      <w:pPr>
        <w:tabs>
          <w:tab w:val="left" w:pos="8070"/>
          <w:tab w:val="right" w:pos="8306"/>
        </w:tabs>
        <w:snapToGrid w:val="0"/>
        <w:spacing w:line="276" w:lineRule="auto"/>
        <w:ind w:firstLine="480"/>
        <w:rPr>
          <w:rFonts w:ascii="Times New Roman"/>
          <w:bCs/>
          <w:szCs w:val="21"/>
        </w:rPr>
      </w:pPr>
    </w:p>
    <w:p>
      <w:pPr>
        <w:ind w:firstLine="0" w:firstLineChars="0"/>
      </w:pPr>
      <w:r>
        <w:t>尊敬的投资者：</w:t>
      </w:r>
    </w:p>
    <w:p>
      <w:pPr>
        <w:snapToGrid w:val="0"/>
        <w:ind w:firstLine="420"/>
        <w:rPr>
          <w:rFonts w:cs="Times New Roman" w:asciiTheme="minorEastAsia" w:hAnsiTheme="minorEastAsia" w:eastAsiaTheme="minorEastAsia"/>
          <w:bCs/>
          <w:sz w:val="21"/>
          <w:szCs w:val="21"/>
        </w:rPr>
      </w:pPr>
      <w:r>
        <w:rPr>
          <w:rFonts w:cs="Times New Roman" w:asciiTheme="minorEastAsia" w:hAnsiTheme="minorEastAsia" w:eastAsiaTheme="minorEastAsia"/>
          <w:bCs/>
          <w:sz w:val="21"/>
          <w:szCs w:val="21"/>
        </w:rPr>
        <w:t>由于理财资金管理运用过程中，可能会面临多种风险因素，因此，根据相关监管规定的要求，</w:t>
      </w:r>
      <w:r>
        <w:rPr>
          <w:rFonts w:cs="Times New Roman" w:asciiTheme="minorEastAsia" w:hAnsiTheme="minorEastAsia" w:eastAsiaTheme="minorEastAsia"/>
          <w:b/>
          <w:bCs/>
          <w:sz w:val="21"/>
          <w:szCs w:val="21"/>
        </w:rPr>
        <w:t>渝农商理财有限责任公司（以下简称“本公司”或“产品管理人”）作为产品管理人郑重提示</w:t>
      </w:r>
      <w:r>
        <w:rPr>
          <w:rFonts w:cs="Times New Roman" w:asciiTheme="minorEastAsia" w:hAnsiTheme="minorEastAsia" w:eastAsiaTheme="minorEastAsia"/>
          <w:bCs/>
          <w:sz w:val="21"/>
          <w:szCs w:val="21"/>
        </w:rPr>
        <w:t>：在您选择购买理财产品前，请注意投资风险，仔细阅读本理财产品完整合同（包括《理财产品投资协议书》、《销售（代理销售）协议书》、《理财产品说明书》、《风险揭示书》和《投资者权益须知》），了解理财产品具体情况后，自行决定购买与自身风险承受能力和资产管理需求匹配的理财产品；在您购买理财产品后，请关注本理财产品的信息披露，及时获得相关信息。</w:t>
      </w:r>
    </w:p>
    <w:p>
      <w:pPr>
        <w:tabs>
          <w:tab w:val="left" w:pos="420"/>
        </w:tabs>
        <w:snapToGrid w:val="0"/>
        <w:ind w:firstLine="422"/>
        <w:rPr>
          <w:rFonts w:cs="Times New Roman" w:asciiTheme="minorEastAsia" w:hAnsiTheme="minorEastAsia" w:eastAsiaTheme="minorEastAsia"/>
          <w:b/>
          <w:sz w:val="21"/>
          <w:szCs w:val="21"/>
        </w:rPr>
      </w:pPr>
      <w:r>
        <w:rPr>
          <w:rFonts w:cs="Times New Roman" w:asciiTheme="minorEastAsia" w:hAnsiTheme="minorEastAsia" w:eastAsiaTheme="minorEastAsia"/>
          <w:b/>
          <w:sz w:val="21"/>
          <w:szCs w:val="21"/>
        </w:rPr>
        <w:t>一、理财非存款、产品有风险、投资须谨慎。</w:t>
      </w:r>
    </w:p>
    <w:p>
      <w:pPr>
        <w:tabs>
          <w:tab w:val="left" w:pos="420"/>
        </w:tabs>
        <w:snapToGrid w:val="0"/>
        <w:ind w:firstLine="422"/>
        <w:rPr>
          <w:rFonts w:cs="Times New Roman" w:asciiTheme="minorEastAsia" w:hAnsiTheme="minorEastAsia" w:eastAsiaTheme="minorEastAsia"/>
          <w:b/>
          <w:sz w:val="21"/>
          <w:szCs w:val="21"/>
        </w:rPr>
      </w:pPr>
      <w:r>
        <w:rPr>
          <w:rFonts w:cs="Times New Roman" w:asciiTheme="minorEastAsia" w:hAnsiTheme="minorEastAsia" w:eastAsiaTheme="minorEastAsia"/>
          <w:b/>
          <w:sz w:val="21"/>
          <w:szCs w:val="21"/>
        </w:rPr>
        <w:t>二、本理财产品不保证本金和收益，</w:t>
      </w:r>
      <w:bookmarkStart w:id="0" w:name="_Hlk90482336"/>
      <w:r>
        <w:rPr>
          <w:rFonts w:cs="Times New Roman" w:asciiTheme="minorEastAsia" w:hAnsiTheme="minorEastAsia" w:eastAsiaTheme="minorEastAsia"/>
          <w:b/>
          <w:sz w:val="21"/>
          <w:szCs w:val="21"/>
        </w:rPr>
        <w:t>投资者的本金可能因市场变动而蒙受损失，在发生最不利的极端情况下（可能但不一定发生），投资者可能无法取得理财收益，并可能面临损失全部理财本金的风险，请投资者充分认识投资风险，谨慎投资</w:t>
      </w:r>
      <w:bookmarkEnd w:id="0"/>
      <w:r>
        <w:rPr>
          <w:rFonts w:cs="Times New Roman" w:asciiTheme="minorEastAsia" w:hAnsiTheme="minorEastAsia" w:eastAsiaTheme="minorEastAsia"/>
          <w:b/>
          <w:sz w:val="21"/>
          <w:szCs w:val="21"/>
        </w:rPr>
        <w:t>。</w:t>
      </w:r>
    </w:p>
    <w:p>
      <w:pPr>
        <w:tabs>
          <w:tab w:val="left" w:pos="420"/>
        </w:tabs>
        <w:snapToGrid w:val="0"/>
        <w:ind w:firstLine="422"/>
        <w:rPr>
          <w:rFonts w:cs="Times New Roman" w:asciiTheme="minorEastAsia" w:hAnsiTheme="minorEastAsia" w:eastAsiaTheme="minorEastAsia"/>
          <w:b/>
          <w:sz w:val="21"/>
          <w:szCs w:val="21"/>
        </w:rPr>
      </w:pPr>
      <w:r>
        <w:rPr>
          <w:rFonts w:cs="Times New Roman" w:asciiTheme="minorEastAsia" w:hAnsiTheme="minorEastAsia" w:eastAsiaTheme="minorEastAsia"/>
          <w:b/>
          <w:sz w:val="21"/>
          <w:szCs w:val="21"/>
        </w:rPr>
        <w:t>示例：若投资者购买本理财产品，本金为 1,000,000.00 元，在资产组合项下资产全部亏损的最不利情况下，理财产品 1,000,000.00 元本金将全部损失。</w:t>
      </w:r>
    </w:p>
    <w:p>
      <w:pPr>
        <w:pStyle w:val="45"/>
        <w:tabs>
          <w:tab w:val="left" w:pos="420"/>
        </w:tabs>
        <w:snapToGrid w:val="0"/>
        <w:ind w:firstLine="422"/>
        <w:rPr>
          <w:rFonts w:asciiTheme="minorEastAsia" w:hAnsiTheme="minorEastAsia" w:eastAsiaTheme="minorEastAsia"/>
          <w:b/>
          <w:szCs w:val="21"/>
        </w:rPr>
      </w:pPr>
      <w:r>
        <w:rPr>
          <w:rFonts w:asciiTheme="minorEastAsia" w:hAnsiTheme="minorEastAsia" w:eastAsiaTheme="minorEastAsia"/>
          <w:b/>
          <w:szCs w:val="21"/>
        </w:rPr>
        <w:t>三、理财产品过往业绩不代表其未来表现，不等于理财产品实际收益，投资须谨慎。本理财产品任何业绩比较基准、预计收益、测算收益或类似表述属不具有法律约束力的用语，不代表投资者可能获得的实际收益，亦不构成产品管理人对本理财产品的任何收益承诺。</w:t>
      </w:r>
    </w:p>
    <w:p>
      <w:pPr>
        <w:pStyle w:val="45"/>
        <w:tabs>
          <w:tab w:val="left" w:pos="420"/>
        </w:tabs>
        <w:snapToGrid w:val="0"/>
        <w:ind w:firstLine="422"/>
        <w:rPr>
          <w:rFonts w:asciiTheme="minorEastAsia" w:hAnsiTheme="minorEastAsia" w:eastAsiaTheme="minorEastAsia"/>
          <w:b/>
          <w:szCs w:val="21"/>
        </w:rPr>
      </w:pPr>
      <w:r>
        <w:rPr>
          <w:rFonts w:asciiTheme="minorEastAsia" w:hAnsiTheme="minorEastAsia" w:eastAsiaTheme="minorEastAsia"/>
          <w:b/>
          <w:szCs w:val="21"/>
        </w:rPr>
        <w:t>四、本理财产品属于固定收益类非保本浮动收益型，产品期限为</w:t>
      </w:r>
      <w:r>
        <w:rPr>
          <w:rFonts w:hint="eastAsia" w:asciiTheme="minorEastAsia" w:hAnsiTheme="minorEastAsia" w:eastAsiaTheme="minorEastAsia"/>
          <w:b/>
          <w:szCs w:val="21"/>
        </w:rPr>
        <w:t>293</w:t>
      </w:r>
      <w:r>
        <w:rPr>
          <w:rFonts w:asciiTheme="minorEastAsia" w:hAnsiTheme="minorEastAsia" w:eastAsiaTheme="minorEastAsia"/>
          <w:b/>
          <w:szCs w:val="21"/>
        </w:rPr>
        <w:t>天（</w:t>
      </w:r>
      <w:bookmarkStart w:id="1" w:name="_Hlk90482477"/>
      <w:r>
        <w:rPr>
          <w:rFonts w:asciiTheme="minorEastAsia" w:hAnsiTheme="minorEastAsia" w:eastAsiaTheme="minorEastAsia"/>
          <w:b/>
          <w:szCs w:val="21"/>
        </w:rPr>
        <w:t>若产品提前终止，以产品实际存续天数为准</w:t>
      </w:r>
      <w:bookmarkEnd w:id="1"/>
      <w:r>
        <w:rPr>
          <w:rFonts w:asciiTheme="minorEastAsia" w:hAnsiTheme="minorEastAsia" w:eastAsiaTheme="minorEastAsia"/>
          <w:b/>
          <w:szCs w:val="21"/>
        </w:rPr>
        <w:t>），产品管理人对本理财产品的内部风险评级为二级，适合稳健型、平衡型、积极型、激进型的</w:t>
      </w:r>
      <w:r>
        <w:rPr>
          <w:rFonts w:hint="eastAsia" w:asciiTheme="minorEastAsia" w:hAnsiTheme="minorEastAsia" w:eastAsiaTheme="minorEastAsia"/>
          <w:b/>
          <w:szCs w:val="21"/>
        </w:rPr>
        <w:t>个人</w:t>
      </w:r>
      <w:r>
        <w:rPr>
          <w:rFonts w:asciiTheme="minorEastAsia" w:hAnsiTheme="minorEastAsia" w:eastAsiaTheme="minorEastAsia"/>
          <w:b/>
          <w:szCs w:val="21"/>
        </w:rPr>
        <w:t>投资者</w:t>
      </w:r>
      <w:r>
        <w:rPr>
          <w:rFonts w:hint="eastAsia" w:asciiTheme="minorEastAsia" w:hAnsiTheme="minorEastAsia" w:eastAsiaTheme="minorEastAsia"/>
          <w:b/>
          <w:szCs w:val="21"/>
        </w:rPr>
        <w:t>，机构投资者</w:t>
      </w:r>
      <w:r>
        <w:rPr>
          <w:rFonts w:asciiTheme="minorEastAsia" w:hAnsiTheme="minorEastAsia" w:eastAsiaTheme="minorEastAsia"/>
          <w:b/>
          <w:szCs w:val="21"/>
        </w:rPr>
        <w:t>购买。</w:t>
      </w:r>
      <w:r>
        <w:rPr>
          <w:rFonts w:asciiTheme="minorEastAsia" w:hAnsiTheme="minorEastAsia" w:eastAsiaTheme="minorEastAsia"/>
          <w:bCs/>
          <w:szCs w:val="21"/>
        </w:rPr>
        <w:t>产品要素详见《理财产品说明书》。</w:t>
      </w:r>
      <w:r>
        <w:rPr>
          <w:rFonts w:asciiTheme="minorEastAsia" w:hAnsiTheme="minorEastAsia" w:eastAsiaTheme="minorEastAsia"/>
          <w:b/>
          <w:szCs w:val="21"/>
        </w:rPr>
        <w:t xml:space="preserve"> </w:t>
      </w:r>
    </w:p>
    <w:p>
      <w:pPr>
        <w:pStyle w:val="45"/>
        <w:tabs>
          <w:tab w:val="left" w:pos="420"/>
        </w:tabs>
        <w:snapToGrid w:val="0"/>
        <w:ind w:firstLine="422"/>
        <w:rPr>
          <w:rFonts w:asciiTheme="minorEastAsia" w:hAnsiTheme="minorEastAsia" w:eastAsiaTheme="minorEastAsia"/>
          <w:b/>
          <w:szCs w:val="21"/>
        </w:rPr>
      </w:pPr>
      <w:r>
        <w:rPr>
          <w:rFonts w:asciiTheme="minorEastAsia" w:hAnsiTheme="minorEastAsia" w:eastAsiaTheme="minorEastAsia"/>
          <w:b/>
          <w:szCs w:val="21"/>
        </w:rPr>
        <w:t>若本产品通过代理销售机构渠道销售的，代理销售机构对“适合投资者类型”的划分标准与表述可能与产品管理人存在差异，产品管理人的“适合投资者类型”划分仅供参考，代理销售机构应向投资者明示其对“适合投资者类型”的划分与表述。</w:t>
      </w:r>
    </w:p>
    <w:p>
      <w:pPr>
        <w:pStyle w:val="45"/>
        <w:tabs>
          <w:tab w:val="left" w:pos="420"/>
        </w:tabs>
        <w:snapToGrid w:val="0"/>
        <w:ind w:firstLine="422"/>
        <w:rPr>
          <w:rFonts w:asciiTheme="minorEastAsia" w:hAnsiTheme="minorEastAsia" w:eastAsiaTheme="minorEastAsia"/>
          <w:b/>
          <w:szCs w:val="21"/>
        </w:rPr>
      </w:pPr>
      <w:r>
        <w:rPr>
          <w:rFonts w:asciiTheme="minorEastAsia" w:hAnsiTheme="minorEastAsia" w:eastAsiaTheme="minorEastAsia"/>
          <w:b/>
          <w:szCs w:val="21"/>
        </w:rPr>
        <w:t>本产品通过代理销售机构渠道销售的，若代理销售机构与产品管理人对本产品风险评级结果不一致的，代理销售机构应当采用对应较高风险等级的评级结果并予以披露，且本理财产品评级应当以代理销售机构最终披露的评级结果为准。</w:t>
      </w:r>
    </w:p>
    <w:p>
      <w:pPr>
        <w:tabs>
          <w:tab w:val="left" w:pos="420"/>
        </w:tabs>
        <w:snapToGrid w:val="0"/>
        <w:ind w:firstLine="422"/>
        <w:rPr>
          <w:rFonts w:cs="Times New Roman" w:asciiTheme="minorEastAsia" w:hAnsiTheme="minorEastAsia" w:eastAsiaTheme="minorEastAsia"/>
          <w:b/>
          <w:sz w:val="21"/>
          <w:szCs w:val="21"/>
        </w:rPr>
      </w:pPr>
      <w:r>
        <w:rPr>
          <w:rFonts w:cs="Times New Roman" w:asciiTheme="minorEastAsia" w:hAnsiTheme="minorEastAsia" w:eastAsiaTheme="minorEastAsia"/>
          <w:b/>
          <w:sz w:val="21"/>
          <w:szCs w:val="21"/>
        </w:rPr>
        <w:t>如影响您风险承受能力的因素发生变化，请及时完成风险承受能力评估。</w:t>
      </w:r>
    </w:p>
    <w:p>
      <w:pPr>
        <w:pStyle w:val="45"/>
        <w:tabs>
          <w:tab w:val="left" w:pos="420"/>
        </w:tabs>
        <w:snapToGrid w:val="0"/>
        <w:rPr>
          <w:rFonts w:asciiTheme="minorEastAsia" w:hAnsiTheme="minorEastAsia" w:eastAsiaTheme="minorEastAsia"/>
          <w:bCs/>
          <w:szCs w:val="21"/>
        </w:rPr>
      </w:pPr>
      <w:r>
        <w:rPr>
          <w:rFonts w:asciiTheme="minorEastAsia" w:hAnsiTheme="minorEastAsia" w:eastAsiaTheme="minorEastAsia"/>
          <w:bCs/>
          <w:szCs w:val="21"/>
        </w:rPr>
        <w:t>五、请投资者根据自身理财目标、投资经验、财务状况、风险承受能力以及其他相关情况慎重考虑购买理财产品。本风险揭示书列示的风险是指理财产品项下可能涉及的风险，包括但不限于：</w:t>
      </w:r>
    </w:p>
    <w:p>
      <w:pPr>
        <w:pStyle w:val="45"/>
        <w:tabs>
          <w:tab w:val="left" w:pos="420"/>
        </w:tabs>
        <w:snapToGrid w:val="0"/>
        <w:ind w:firstLine="422"/>
        <w:rPr>
          <w:rFonts w:asciiTheme="minorEastAsia" w:hAnsiTheme="minorEastAsia" w:eastAsiaTheme="minorEastAsia"/>
          <w:bCs/>
          <w:szCs w:val="21"/>
        </w:rPr>
      </w:pPr>
      <w:r>
        <w:rPr>
          <w:rFonts w:asciiTheme="minorEastAsia" w:hAnsiTheme="minorEastAsia" w:eastAsiaTheme="minorEastAsia"/>
          <w:b/>
          <w:szCs w:val="21"/>
        </w:rPr>
        <w:t>1、政策风险：</w:t>
      </w:r>
      <w:r>
        <w:rPr>
          <w:rFonts w:asciiTheme="minorEastAsia" w:hAnsiTheme="minorEastAsia" w:eastAsiaTheme="minorEastAsia"/>
          <w:bCs/>
          <w:szCs w:val="21"/>
        </w:rPr>
        <w:t>本理财产品在实际运作过程中，如遇到国家宏观政策和相关法律法规发生变化，影响本理财产品的发行、投资和兑付等，则投资者可能面临本金和收益遭受损失的风险。</w:t>
      </w:r>
    </w:p>
    <w:p>
      <w:pPr>
        <w:pStyle w:val="45"/>
        <w:tabs>
          <w:tab w:val="left" w:pos="420"/>
        </w:tabs>
        <w:snapToGrid w:val="0"/>
        <w:ind w:firstLine="422"/>
        <w:rPr>
          <w:rFonts w:asciiTheme="minorEastAsia" w:hAnsiTheme="minorEastAsia" w:eastAsiaTheme="minorEastAsia"/>
          <w:bCs/>
          <w:szCs w:val="21"/>
        </w:rPr>
      </w:pPr>
      <w:r>
        <w:rPr>
          <w:rFonts w:asciiTheme="minorEastAsia" w:hAnsiTheme="minorEastAsia" w:eastAsiaTheme="minorEastAsia"/>
          <w:b/>
          <w:bCs/>
          <w:szCs w:val="21"/>
        </w:rPr>
        <w:t>2、信用风险</w:t>
      </w:r>
      <w:r>
        <w:rPr>
          <w:rFonts w:asciiTheme="minorEastAsia" w:hAnsiTheme="minorEastAsia" w:eastAsiaTheme="minorEastAsia"/>
          <w:bCs/>
          <w:szCs w:val="21"/>
        </w:rPr>
        <w:t>：投资者面临本理财产品所投资的资产或资产组合项下义务人可能出现信用违约情形，则投资者可能面临本金和收益遭受损失的风险。</w:t>
      </w:r>
    </w:p>
    <w:p>
      <w:pPr>
        <w:snapToGrid w:val="0"/>
        <w:ind w:firstLine="422"/>
        <w:rPr>
          <w:rFonts w:cs="Times New Roman" w:asciiTheme="minorEastAsia" w:hAnsiTheme="minorEastAsia" w:eastAsiaTheme="minorEastAsia"/>
          <w:bCs/>
          <w:sz w:val="21"/>
          <w:szCs w:val="21"/>
        </w:rPr>
      </w:pPr>
      <w:r>
        <w:rPr>
          <w:rFonts w:cs="Times New Roman" w:asciiTheme="minorEastAsia" w:hAnsiTheme="minorEastAsia" w:eastAsiaTheme="minorEastAsia"/>
          <w:b/>
          <w:bCs/>
          <w:sz w:val="21"/>
          <w:szCs w:val="21"/>
        </w:rPr>
        <w:t>3、市场风险：</w:t>
      </w:r>
      <w:r>
        <w:rPr>
          <w:rFonts w:cs="Times New Roman" w:asciiTheme="minorEastAsia" w:hAnsiTheme="minorEastAsia" w:eastAsiaTheme="minorEastAsia"/>
          <w:bCs/>
          <w:sz w:val="21"/>
          <w:szCs w:val="21"/>
        </w:rPr>
        <w:t>本理财产品在实际运作过程中，由于市场的变化造成本理财产品投资的资产或资产组合价格发生波动，从而影响本理财产品的收益，则投资者可能面临本金和收益遭受损失的风险。</w:t>
      </w:r>
    </w:p>
    <w:p>
      <w:pPr>
        <w:pStyle w:val="45"/>
        <w:snapToGrid w:val="0"/>
        <w:ind w:firstLine="422"/>
        <w:rPr>
          <w:rFonts w:asciiTheme="minorEastAsia" w:hAnsiTheme="minorEastAsia" w:eastAsiaTheme="minorEastAsia"/>
          <w:bCs/>
          <w:szCs w:val="21"/>
        </w:rPr>
      </w:pPr>
      <w:r>
        <w:rPr>
          <w:rFonts w:asciiTheme="minorEastAsia" w:hAnsiTheme="minorEastAsia" w:eastAsiaTheme="minorEastAsia"/>
          <w:b/>
          <w:szCs w:val="21"/>
        </w:rPr>
        <w:t>4、流动性风险：</w:t>
      </w:r>
      <w:r>
        <w:rPr>
          <w:rFonts w:asciiTheme="minorEastAsia" w:hAnsiTheme="minorEastAsia" w:eastAsiaTheme="minorEastAsia"/>
          <w:bCs/>
          <w:szCs w:val="21"/>
        </w:rPr>
        <w:t>在产品存续期内，</w:t>
      </w:r>
      <w:bookmarkStart w:id="2" w:name="_Hlk90482584"/>
      <w:r>
        <w:rPr>
          <w:rFonts w:asciiTheme="minorEastAsia" w:hAnsiTheme="minorEastAsia" w:eastAsiaTheme="minorEastAsia"/>
          <w:bCs/>
          <w:szCs w:val="21"/>
        </w:rPr>
        <w:t>投资者只能在《理财产品说明书》约定的开放期或开放日（如有）办理赎回</w:t>
      </w:r>
      <w:bookmarkEnd w:id="2"/>
      <w:r>
        <w:rPr>
          <w:rFonts w:asciiTheme="minorEastAsia" w:hAnsiTheme="minorEastAsia" w:eastAsiaTheme="minorEastAsia"/>
          <w:bCs/>
          <w:szCs w:val="21"/>
        </w:rPr>
        <w:t>，在封闭期内投资者可能面临因不能退出而影响投资者资金流动性安排的风险。若客户赎回申请超过单个客户累计赎回限额或产品发生巨额赎回或《理财产品说明书》中约定的其他产品管理人有权拒绝或暂停接受客户的全部或部分赎回申请的情形，可能导致投资者面临需要资金而不能变现的风险或丧失其它投资机会。若理财产品投资的基础资产成交少、流动性低，或对于非公开发行债券等流动和/或转让存在一定的限制的资产，即使在市场流</w:t>
      </w:r>
      <w:r>
        <w:rPr>
          <w:rFonts w:hint="eastAsia" w:asciiTheme="minorEastAsia" w:hAnsiTheme="minorEastAsia" w:eastAsiaTheme="minorEastAsia"/>
          <w:bCs/>
          <w:szCs w:val="21"/>
        </w:rPr>
        <w:t xml:space="preserve"> </w:t>
      </w:r>
      <w:r>
        <w:rPr>
          <w:rFonts w:asciiTheme="minorEastAsia" w:hAnsiTheme="minorEastAsia" w:eastAsiaTheme="minorEastAsia"/>
          <w:bCs/>
          <w:szCs w:val="21"/>
        </w:rPr>
        <w:t>动性比较好的情况下，个别资产的流动性可能较差，均可能造成无法以合理价格买入或卖出的情形，并因此影响客户收益，甚至使本产品遭受损失。对于流动性好的基础资产，可能在特定时期受市场行情、投资者群体等诸多因素影响，出现交易少、流动性低的情况，在市场流动性相对不足时，可能增加变现成本或出现变现困难，对投资造成不利影响。此外因系统原因，理财产品可能出现不能提出申购申请、赎回申请的情况，可能导致投资者不能按需购买理财产品，或需要资金时不能按需变现，并可能产生投资者丧失投资机会的风险。</w:t>
      </w:r>
    </w:p>
    <w:p>
      <w:pPr>
        <w:snapToGrid w:val="0"/>
        <w:ind w:firstLine="422"/>
        <w:rPr>
          <w:rFonts w:cs="Times New Roman" w:asciiTheme="minorEastAsia" w:hAnsiTheme="minorEastAsia" w:eastAsiaTheme="minorEastAsia"/>
          <w:bCs/>
          <w:sz w:val="21"/>
          <w:szCs w:val="21"/>
        </w:rPr>
      </w:pPr>
      <w:r>
        <w:rPr>
          <w:rFonts w:cs="Times New Roman" w:asciiTheme="minorEastAsia" w:hAnsiTheme="minorEastAsia" w:eastAsiaTheme="minorEastAsia"/>
          <w:b/>
          <w:bCs/>
          <w:sz w:val="21"/>
          <w:szCs w:val="21"/>
        </w:rPr>
        <w:t>5、管理风险：</w:t>
      </w:r>
      <w:r>
        <w:rPr>
          <w:rFonts w:cs="Times New Roman" w:asciiTheme="minorEastAsia" w:hAnsiTheme="minorEastAsia" w:eastAsiaTheme="minorEastAsia"/>
          <w:bCs/>
          <w:sz w:val="21"/>
          <w:szCs w:val="21"/>
        </w:rPr>
        <w:t>由于投资管理各方受经验、技能、执行力等综合因素的限制，可能会影响本理财产品的投资管理，则投资者可能面临本金和收益遭受损失的风险。</w:t>
      </w:r>
    </w:p>
    <w:p>
      <w:pPr>
        <w:pStyle w:val="45"/>
        <w:snapToGrid w:val="0"/>
        <w:ind w:firstLine="422"/>
        <w:rPr>
          <w:rFonts w:asciiTheme="minorEastAsia" w:hAnsiTheme="minorEastAsia" w:eastAsiaTheme="minorEastAsia"/>
          <w:bCs/>
          <w:szCs w:val="21"/>
        </w:rPr>
      </w:pPr>
      <w:r>
        <w:rPr>
          <w:rFonts w:asciiTheme="minorEastAsia" w:hAnsiTheme="minorEastAsia" w:eastAsiaTheme="minorEastAsia"/>
          <w:b/>
          <w:szCs w:val="21"/>
        </w:rPr>
        <w:t>6、产品不成立风险：</w:t>
      </w:r>
      <w:r>
        <w:rPr>
          <w:rFonts w:asciiTheme="minorEastAsia" w:hAnsiTheme="minorEastAsia" w:eastAsiaTheme="minorEastAsia"/>
          <w:bCs/>
          <w:szCs w:val="21"/>
        </w:rPr>
        <w:t>如果因募集规模低于《理财产品说明书》约定的最低规模或其他因素导致本理财产品不能成立，投资者将面临再投资风险。</w:t>
      </w:r>
    </w:p>
    <w:p>
      <w:pPr>
        <w:pStyle w:val="45"/>
        <w:snapToGrid w:val="0"/>
        <w:ind w:firstLine="422"/>
        <w:rPr>
          <w:rFonts w:asciiTheme="minorEastAsia" w:hAnsiTheme="minorEastAsia" w:eastAsiaTheme="minorEastAsia"/>
          <w:bCs/>
          <w:szCs w:val="21"/>
        </w:rPr>
      </w:pPr>
      <w:r>
        <w:rPr>
          <w:rFonts w:asciiTheme="minorEastAsia" w:hAnsiTheme="minorEastAsia" w:eastAsiaTheme="minorEastAsia"/>
          <w:b/>
          <w:szCs w:val="21"/>
        </w:rPr>
        <w:t>7、提前终止风险：</w:t>
      </w:r>
      <w:r>
        <w:rPr>
          <w:rFonts w:asciiTheme="minorEastAsia" w:hAnsiTheme="minorEastAsia" w:eastAsiaTheme="minorEastAsia"/>
          <w:bCs/>
          <w:szCs w:val="21"/>
        </w:rPr>
        <w:t>为保护投资者利益，在本理财产品存续期间本公司有可能根据《理财产品说明书》的约定提前终止本理财产品。投资者面临再投资风险。</w:t>
      </w:r>
    </w:p>
    <w:p>
      <w:pPr>
        <w:pStyle w:val="45"/>
        <w:snapToGrid w:val="0"/>
        <w:ind w:firstLine="422"/>
        <w:rPr>
          <w:rFonts w:asciiTheme="minorEastAsia" w:hAnsiTheme="minorEastAsia" w:eastAsiaTheme="minorEastAsia"/>
          <w:bCs/>
          <w:szCs w:val="21"/>
        </w:rPr>
      </w:pPr>
      <w:r>
        <w:rPr>
          <w:rFonts w:asciiTheme="minorEastAsia" w:hAnsiTheme="minorEastAsia" w:eastAsiaTheme="minorEastAsia"/>
          <w:b/>
          <w:szCs w:val="21"/>
        </w:rPr>
        <w:t>8、兑付延期风险：</w:t>
      </w:r>
      <w:r>
        <w:rPr>
          <w:rFonts w:asciiTheme="minorEastAsia" w:hAnsiTheme="minorEastAsia" w:eastAsiaTheme="minorEastAsia"/>
          <w:bCs/>
          <w:szCs w:val="21"/>
        </w:rPr>
        <w:t>如因本理财产品投资的资产无法及时变现等原因造成不能按时支付本金和收益，则投资者可能面临客户兑付延期、调整等风险，甚至由此投资者可能面临本金和收益遭受损失的风险。</w:t>
      </w:r>
    </w:p>
    <w:p>
      <w:pPr>
        <w:pStyle w:val="13"/>
        <w:snapToGrid w:val="0"/>
        <w:ind w:firstLine="422" w:firstLineChars="200"/>
        <w:rPr>
          <w:rFonts w:cs="Times New Roman" w:asciiTheme="minorEastAsia" w:hAnsiTheme="minorEastAsia"/>
          <w:b/>
          <w:szCs w:val="21"/>
        </w:rPr>
      </w:pPr>
      <w:r>
        <w:rPr>
          <w:rFonts w:cs="Times New Roman" w:asciiTheme="minorEastAsia" w:hAnsiTheme="minorEastAsia"/>
          <w:b/>
          <w:szCs w:val="21"/>
        </w:rPr>
        <w:t>9、设置建仓期的风险：</w:t>
      </w:r>
      <w:r>
        <w:rPr>
          <w:rFonts w:cs="Times New Roman" w:asciiTheme="minorEastAsia" w:hAnsiTheme="minorEastAsia"/>
          <w:b/>
          <w:bCs/>
          <w:szCs w:val="21"/>
        </w:rPr>
        <w:t>理财产品可能设立建仓期机制，建仓期内理财产品的投资比例可能无法满足理财产品约定的投资比例限制，从而可能对理财产品的投资收益产生相应影响。</w:t>
      </w:r>
    </w:p>
    <w:p>
      <w:pPr>
        <w:pStyle w:val="15"/>
        <w:numPr>
          <w:ilvl w:val="255"/>
          <w:numId w:val="0"/>
        </w:numPr>
        <w:tabs>
          <w:tab w:val="left" w:pos="720"/>
        </w:tabs>
        <w:snapToGrid w:val="0"/>
        <w:spacing w:after="93" w:afterLines="30"/>
        <w:ind w:firstLine="422" w:firstLineChars="200"/>
        <w:rPr>
          <w:rFonts w:cs="Times New Roman" w:asciiTheme="minorEastAsia" w:hAnsiTheme="minorEastAsia"/>
          <w:sz w:val="21"/>
          <w:szCs w:val="21"/>
        </w:rPr>
      </w:pPr>
      <w:r>
        <w:rPr>
          <w:rFonts w:cs="Times New Roman" w:asciiTheme="minorEastAsia" w:hAnsiTheme="minorEastAsia"/>
          <w:b/>
          <w:kern w:val="2"/>
          <w:sz w:val="21"/>
          <w:szCs w:val="21"/>
        </w:rPr>
        <w:t>10、投资特定标</w:t>
      </w:r>
      <w:r>
        <w:rPr>
          <w:rFonts w:cs="Times New Roman" w:asciiTheme="minorEastAsia" w:hAnsiTheme="minorEastAsia"/>
          <w:b/>
          <w:sz w:val="21"/>
          <w:szCs w:val="21"/>
        </w:rPr>
        <w:t>的可能引起的其他特殊风险</w:t>
      </w:r>
      <w:r>
        <w:rPr>
          <w:rFonts w:cs="Times New Roman" w:asciiTheme="minorEastAsia" w:hAnsiTheme="minorEastAsia"/>
          <w:sz w:val="21"/>
          <w:szCs w:val="21"/>
        </w:rPr>
        <w:t>：</w:t>
      </w:r>
    </w:p>
    <w:p>
      <w:pPr>
        <w:pStyle w:val="15"/>
        <w:numPr>
          <w:ilvl w:val="255"/>
          <w:numId w:val="0"/>
        </w:numPr>
        <w:tabs>
          <w:tab w:val="left" w:pos="720"/>
        </w:tabs>
        <w:snapToGrid w:val="0"/>
        <w:spacing w:after="93" w:afterLines="30"/>
        <w:ind w:firstLine="420" w:firstLineChars="200"/>
        <w:rPr>
          <w:rFonts w:cs="Times New Roman" w:asciiTheme="minorEastAsia" w:hAnsiTheme="minorEastAsia"/>
          <w:sz w:val="21"/>
          <w:szCs w:val="21"/>
        </w:rPr>
      </w:pPr>
      <w:r>
        <w:rPr>
          <w:rFonts w:cs="Times New Roman" w:asciiTheme="minorEastAsia" w:hAnsiTheme="minorEastAsia"/>
          <w:sz w:val="21"/>
          <w:szCs w:val="21"/>
        </w:rPr>
        <w:t>（1）</w:t>
      </w:r>
      <w:r>
        <w:rPr>
          <w:rFonts w:cs="Times New Roman" w:asciiTheme="minorEastAsia" w:hAnsiTheme="minorEastAsia"/>
          <w:b/>
          <w:sz w:val="21"/>
          <w:szCs w:val="21"/>
        </w:rPr>
        <w:t>债券投资风险（如有）</w:t>
      </w:r>
      <w:r>
        <w:rPr>
          <w:rFonts w:cs="Times New Roman" w:asciiTheme="minorEastAsia" w:hAnsiTheme="minorEastAsia"/>
          <w:sz w:val="21"/>
          <w:szCs w:val="21"/>
        </w:rPr>
        <w:t>：债券市场不同期限、不同风险等级、不同种类债券之间的利差变动，可能导致债券价格下跌。若利用回购进行债券投资的杠杆操作，可能产生放大投资损失的风险。所投资债券的发行人如出现违约、无法支付到期本息，或由于债券发行人信用等级降低导致债券价格下降等，可能影响投资者收益，甚至使本理财产品本金遭受损失。</w:t>
      </w:r>
    </w:p>
    <w:p>
      <w:pPr>
        <w:pStyle w:val="15"/>
        <w:tabs>
          <w:tab w:val="left" w:pos="720"/>
        </w:tabs>
        <w:snapToGrid w:val="0"/>
        <w:spacing w:after="93" w:afterLines="30"/>
        <w:ind w:left="0" w:leftChars="0" w:firstLine="420" w:firstLineChars="200"/>
        <w:rPr>
          <w:rFonts w:cs="Times New Roman" w:asciiTheme="minorEastAsia" w:hAnsiTheme="minorEastAsia"/>
          <w:sz w:val="21"/>
          <w:szCs w:val="21"/>
        </w:rPr>
      </w:pPr>
      <w:r>
        <w:rPr>
          <w:rFonts w:cs="Times New Roman" w:asciiTheme="minorEastAsia" w:hAnsiTheme="minorEastAsia"/>
          <w:sz w:val="21"/>
          <w:szCs w:val="21"/>
        </w:rPr>
        <w:t>（2）</w:t>
      </w:r>
      <w:r>
        <w:rPr>
          <w:rFonts w:cs="Times New Roman" w:asciiTheme="minorEastAsia" w:hAnsiTheme="minorEastAsia"/>
          <w:b/>
          <w:sz w:val="21"/>
          <w:szCs w:val="21"/>
        </w:rPr>
        <w:t>资产支持证券/资产支持票据投资风险（如有）</w:t>
      </w:r>
      <w:r>
        <w:rPr>
          <w:rFonts w:cs="Times New Roman" w:asciiTheme="minorEastAsia" w:hAnsiTheme="minorEastAsia"/>
          <w:sz w:val="21"/>
          <w:szCs w:val="21"/>
        </w:rPr>
        <w:t>：若资产支持证券或资产支持票据项下的基础资产发生原始权益人破产或基础资产项下现金流未能及时完整取得等情况，可能因此影响投资者收益，甚至使本理财产品遭受损失。</w:t>
      </w:r>
    </w:p>
    <w:p>
      <w:pPr>
        <w:pStyle w:val="15"/>
        <w:tabs>
          <w:tab w:val="left" w:pos="720"/>
        </w:tabs>
        <w:snapToGrid w:val="0"/>
        <w:spacing w:after="93" w:afterLines="30"/>
        <w:ind w:left="0" w:leftChars="0" w:firstLine="420" w:firstLineChars="200"/>
        <w:rPr>
          <w:rFonts w:cs="Times New Roman" w:asciiTheme="minorEastAsia" w:hAnsiTheme="minorEastAsia"/>
          <w:sz w:val="21"/>
          <w:szCs w:val="21"/>
        </w:rPr>
      </w:pPr>
      <w:r>
        <w:rPr>
          <w:rFonts w:cs="Times New Roman" w:asciiTheme="minorEastAsia" w:hAnsiTheme="minorEastAsia"/>
          <w:sz w:val="21"/>
          <w:szCs w:val="21"/>
        </w:rPr>
        <w:t>（3）</w:t>
      </w:r>
      <w:r>
        <w:rPr>
          <w:rFonts w:cs="Times New Roman" w:asciiTheme="minorEastAsia" w:hAnsiTheme="minorEastAsia"/>
          <w:b/>
          <w:sz w:val="21"/>
          <w:szCs w:val="21"/>
        </w:rPr>
        <w:t>可转换债券、可交换债券投资风险（如有）</w:t>
      </w:r>
      <w:r>
        <w:rPr>
          <w:rFonts w:cs="Times New Roman" w:asciiTheme="minorEastAsia" w:hAnsiTheme="minorEastAsia"/>
          <w:sz w:val="21"/>
          <w:szCs w:val="21"/>
        </w:rPr>
        <w:t>：可转换债券或可交换债券收益与对应标的股票股价直接挂钩，可能受对应标的股票价格波动的影响；转股期内，对应标的股票价格可能低于转股价格，若选择转股，本理财产品将承受标的股票价格低于转股价格之间的价差；转股价格向下修正条款触发时，存在发行方公司决策层未同意修正转股价格的风险；可能启用赎回条款，使债券提前兑付或转股期缩短；存在因政策限制导致无法转股的风险；可转换债券或可交换债券投资受到包括但不限于上述因素影响时，可能影响投资者收益，甚至使本理财产品遭受损失。</w:t>
      </w:r>
    </w:p>
    <w:p>
      <w:pPr>
        <w:pStyle w:val="15"/>
        <w:tabs>
          <w:tab w:val="left" w:pos="720"/>
        </w:tabs>
        <w:snapToGrid w:val="0"/>
        <w:spacing w:after="93" w:afterLines="30"/>
        <w:ind w:left="0" w:leftChars="0" w:firstLine="420" w:firstLineChars="200"/>
        <w:rPr>
          <w:rFonts w:cs="Times New Roman" w:asciiTheme="minorEastAsia" w:hAnsiTheme="minorEastAsia"/>
          <w:sz w:val="21"/>
          <w:szCs w:val="21"/>
        </w:rPr>
      </w:pPr>
      <w:r>
        <w:rPr>
          <w:rFonts w:cs="Times New Roman" w:asciiTheme="minorEastAsia" w:hAnsiTheme="minorEastAsia"/>
          <w:sz w:val="21"/>
          <w:szCs w:val="21"/>
        </w:rPr>
        <w:t>（4）</w:t>
      </w:r>
      <w:r>
        <w:rPr>
          <w:rFonts w:cs="Times New Roman" w:asciiTheme="minorEastAsia" w:hAnsiTheme="minorEastAsia"/>
          <w:b/>
          <w:sz w:val="21"/>
          <w:szCs w:val="21"/>
        </w:rPr>
        <w:t>股票投资风险（如有）</w:t>
      </w:r>
      <w:r>
        <w:rPr>
          <w:rFonts w:cs="Times New Roman" w:asciiTheme="minorEastAsia" w:hAnsiTheme="minorEastAsia"/>
          <w:sz w:val="21"/>
          <w:szCs w:val="21"/>
        </w:rPr>
        <w:t>：上市公司的经营状况受多种因素影响，如市场、技术、竞争、管理、财务等都可能导致公司盈利发生变化，从而导致股票价格下跌，影响投资者收益，甚至使本理财产品遭受损失。若投资科创板股票，可能面临因投资标的、市场制度以及交易规则等差异带来的特有风险；若投资港股通股票，可能面临境内外法律、法规、监管政策、业务规则和交易规则等不同规则适用造成的风险，以及受到投资标的或投资额度限制、交易通讯故障等影响。股票投资受到包括但不限于上述因素影响时，可能影响投资者收益，甚至使本理财产品遭受损失。</w:t>
      </w:r>
    </w:p>
    <w:p>
      <w:pPr>
        <w:pStyle w:val="15"/>
        <w:tabs>
          <w:tab w:val="left" w:pos="720"/>
        </w:tabs>
        <w:snapToGrid w:val="0"/>
        <w:spacing w:after="93" w:afterLines="30"/>
        <w:ind w:left="0" w:leftChars="0" w:firstLine="420" w:firstLineChars="200"/>
        <w:rPr>
          <w:rFonts w:cs="Times New Roman" w:asciiTheme="minorEastAsia" w:hAnsiTheme="minorEastAsia"/>
          <w:sz w:val="21"/>
          <w:szCs w:val="21"/>
        </w:rPr>
      </w:pPr>
      <w:r>
        <w:rPr>
          <w:rFonts w:cs="Times New Roman" w:asciiTheme="minorEastAsia" w:hAnsiTheme="minorEastAsia"/>
          <w:sz w:val="21"/>
          <w:szCs w:val="21"/>
        </w:rPr>
        <w:t>（</w:t>
      </w:r>
      <w:r>
        <w:rPr>
          <w:rFonts w:hint="eastAsia" w:cs="Times New Roman" w:asciiTheme="minorEastAsia" w:hAnsiTheme="minorEastAsia"/>
          <w:sz w:val="21"/>
          <w:szCs w:val="21"/>
        </w:rPr>
        <w:t>5</w:t>
      </w:r>
      <w:r>
        <w:rPr>
          <w:rFonts w:cs="Times New Roman" w:asciiTheme="minorEastAsia" w:hAnsiTheme="minorEastAsia"/>
          <w:sz w:val="21"/>
          <w:szCs w:val="21"/>
        </w:rPr>
        <w:t>）</w:t>
      </w:r>
      <w:r>
        <w:rPr>
          <w:rFonts w:cs="Times New Roman" w:asciiTheme="minorEastAsia" w:hAnsiTheme="minorEastAsia"/>
          <w:b/>
          <w:sz w:val="21"/>
          <w:szCs w:val="21"/>
        </w:rPr>
        <w:t>非标准化债权类资产投资风险（如有）</w:t>
      </w:r>
      <w:r>
        <w:rPr>
          <w:rFonts w:cs="Times New Roman" w:asciiTheme="minorEastAsia" w:hAnsiTheme="minorEastAsia"/>
          <w:sz w:val="21"/>
          <w:szCs w:val="21"/>
        </w:rPr>
        <w:t>：由于还款履约能力发生变化等原因，融资方/义务人可能无法偿还或逾期偿还相关融资本金利息，或无法履行相关合同约定的其他义务，或者因融资方/义务人按照相关合同的约定申请提前/立即偿还款项或者融资方/义务人发生相关合同约定的违约情形，或者由于市场原因、政府机构等原因可能导致相关债权被宣布提前/立即到期，或者因发生相关合同约定的情形导致相关债权延期；或者因相关合同约定的原状分配发生后所分配的财产无法及时进行变现等原因造成无法按计划进行投资本金、收益分配，非标准化债权类资产受到包括但不限于上述因素影响时，可能影响投资者收益，甚至使产品本金遭受损失。</w:t>
      </w:r>
    </w:p>
    <w:p>
      <w:pPr>
        <w:pStyle w:val="15"/>
        <w:tabs>
          <w:tab w:val="left" w:pos="720"/>
        </w:tabs>
        <w:snapToGrid w:val="0"/>
        <w:spacing w:after="93" w:afterLines="30"/>
        <w:ind w:left="0" w:leftChars="0" w:firstLine="420" w:firstLineChars="200"/>
        <w:rPr>
          <w:rFonts w:cs="Times New Roman" w:asciiTheme="minorEastAsia" w:hAnsiTheme="minorEastAsia"/>
          <w:sz w:val="21"/>
          <w:szCs w:val="21"/>
        </w:rPr>
      </w:pPr>
      <w:r>
        <w:rPr>
          <w:rFonts w:cs="Times New Roman" w:asciiTheme="minorEastAsia" w:hAnsiTheme="minorEastAsia"/>
          <w:sz w:val="21"/>
          <w:szCs w:val="21"/>
        </w:rPr>
        <w:t>（</w:t>
      </w:r>
      <w:r>
        <w:rPr>
          <w:rFonts w:hint="eastAsia" w:cs="Times New Roman" w:asciiTheme="minorEastAsia" w:hAnsiTheme="minorEastAsia"/>
          <w:sz w:val="21"/>
          <w:szCs w:val="21"/>
        </w:rPr>
        <w:t>6</w:t>
      </w:r>
      <w:r>
        <w:rPr>
          <w:rFonts w:cs="Times New Roman" w:asciiTheme="minorEastAsia" w:hAnsiTheme="minorEastAsia"/>
          <w:sz w:val="21"/>
          <w:szCs w:val="21"/>
        </w:rPr>
        <w:t>）</w:t>
      </w:r>
      <w:r>
        <w:rPr>
          <w:rFonts w:cs="Times New Roman" w:asciiTheme="minorEastAsia" w:hAnsiTheme="minorEastAsia"/>
          <w:b/>
          <w:sz w:val="21"/>
          <w:szCs w:val="21"/>
        </w:rPr>
        <w:t>公募基金、资产管理计划、信托计划、信托受益权等资产投资风险（如有）</w:t>
      </w:r>
      <w:r>
        <w:rPr>
          <w:rFonts w:cs="Times New Roman" w:asciiTheme="minorEastAsia" w:hAnsiTheme="minorEastAsia"/>
          <w:sz w:val="21"/>
          <w:szCs w:val="21"/>
        </w:rPr>
        <w:t>：若本理财产品投资公募基金、资产管理计划、信托计划、信托受益权等时，可能因为公募基金、资产管理计划、信托计划、信托受益权等的管理人或受托人违法违规、未尽管理人或受托人职责或发生其他情形，或公募基金、资产管理计划、信托计划、信托受益权等出现因为特定原因而被提前终止的情况，可能造成本理财产品所投资的公募基金、资产管理计划、信托计划、信托受益权等的财产损失，从而影响投资者收益，甚至使本理财产品遭受损失。</w:t>
      </w:r>
    </w:p>
    <w:p>
      <w:pPr>
        <w:pStyle w:val="45"/>
        <w:snapToGrid w:val="0"/>
        <w:ind w:firstLine="422"/>
        <w:rPr>
          <w:rFonts w:asciiTheme="minorEastAsia" w:hAnsiTheme="minorEastAsia" w:eastAsiaTheme="minorEastAsia"/>
          <w:b/>
          <w:bCs/>
          <w:szCs w:val="21"/>
        </w:rPr>
      </w:pPr>
      <w:r>
        <w:rPr>
          <w:rFonts w:asciiTheme="minorEastAsia" w:hAnsiTheme="minorEastAsia" w:eastAsiaTheme="minorEastAsia"/>
          <w:b/>
          <w:bCs/>
          <w:szCs w:val="21"/>
        </w:rPr>
        <w:t>11、信息传递风险</w:t>
      </w:r>
      <w:r>
        <w:rPr>
          <w:rFonts w:asciiTheme="minorEastAsia" w:hAnsiTheme="minorEastAsia" w:eastAsiaTheme="minorEastAsia"/>
          <w:bCs/>
          <w:szCs w:val="21"/>
        </w:rPr>
        <w:t>：本公司将按照《理财产品说明书》的约定进行产品信息披露，投资者应充分关注并及时主动查询本理财产品相关信息。投资者预留的有效联系方式发生变更的，亦应及时通知销售（代理销售）机构。如投资者未及时查询相关信息，或预留联系方式变更未及时通知销售（代理销售）机构导致在销售（代理销售）机构或本公司认为需要时无法及时联系到投资者的，可能会影响投资者的投资决策，因此而产生的责任和风险由投资者自行承担。</w:t>
      </w:r>
    </w:p>
    <w:p>
      <w:pPr>
        <w:pStyle w:val="45"/>
        <w:snapToGrid w:val="0"/>
        <w:ind w:firstLine="422"/>
        <w:rPr>
          <w:rFonts w:asciiTheme="minorEastAsia" w:hAnsiTheme="minorEastAsia" w:eastAsiaTheme="minorEastAsia"/>
          <w:bCs/>
          <w:szCs w:val="21"/>
        </w:rPr>
      </w:pPr>
      <w:r>
        <w:rPr>
          <w:rFonts w:asciiTheme="minorEastAsia" w:hAnsiTheme="minorEastAsia" w:eastAsiaTheme="minorEastAsia"/>
          <w:b/>
          <w:bCs/>
          <w:szCs w:val="21"/>
        </w:rPr>
        <w:t>12、估值风险</w:t>
      </w:r>
      <w:r>
        <w:rPr>
          <w:rFonts w:asciiTheme="minorEastAsia" w:hAnsiTheme="minorEastAsia" w:eastAsiaTheme="minorEastAsia"/>
          <w:bCs/>
          <w:szCs w:val="21"/>
        </w:rPr>
        <w:t>：本理财产品采用的估值方法有可能不能充分反映和揭示风险，或经济环境发生重大变化时，在一定时期内可能高估或低估理财产品资产净值。本理财产品按《理财产品说明书》的估值方法进行估值，理财产品估值与实际变现价值可能发生偏离，投资者应知晓该风险。产品管理人估值仅作为参考，本公司不承担第三方再次使用该估值引发的其他风险。</w:t>
      </w:r>
    </w:p>
    <w:p>
      <w:pPr>
        <w:pStyle w:val="45"/>
        <w:snapToGrid w:val="0"/>
        <w:ind w:firstLine="422"/>
        <w:rPr>
          <w:rFonts w:asciiTheme="minorEastAsia" w:hAnsiTheme="minorEastAsia" w:eastAsiaTheme="minorEastAsia"/>
          <w:bCs/>
          <w:szCs w:val="21"/>
        </w:rPr>
      </w:pPr>
      <w:r>
        <w:rPr>
          <w:rFonts w:asciiTheme="minorEastAsia" w:hAnsiTheme="minorEastAsia" w:eastAsiaTheme="minorEastAsia"/>
          <w:b/>
          <w:szCs w:val="21"/>
        </w:rPr>
        <w:t>13、关联交易风险：</w:t>
      </w:r>
      <w:r>
        <w:rPr>
          <w:rFonts w:asciiTheme="minorEastAsia" w:hAnsiTheme="minorEastAsia" w:eastAsiaTheme="minorEastAsia"/>
          <w:bCs/>
          <w:szCs w:val="21"/>
        </w:rPr>
        <w:t>在合法合规且履行应履行的内外部程序后，理财产品可能与关联方等发生关联交易。本理财产品可能通过产品管理人的关联方进行销售。上述各方具有隔离机制，在业务开展方面将符合相关法律法规的要求，且上述各方将按照恪尽职守、诚实信用、谨慎勤勉的原则进行业务操作，但仍可能存在利益冲突。若发生道德风险等情形将对投资者权益产生不利影响。</w:t>
      </w:r>
    </w:p>
    <w:p>
      <w:pPr>
        <w:pStyle w:val="45"/>
        <w:snapToGrid w:val="0"/>
        <w:ind w:firstLine="422"/>
        <w:rPr>
          <w:rFonts w:asciiTheme="minorEastAsia" w:hAnsiTheme="minorEastAsia" w:eastAsiaTheme="minorEastAsia"/>
          <w:b/>
          <w:bCs/>
          <w:szCs w:val="21"/>
        </w:rPr>
      </w:pPr>
      <w:r>
        <w:rPr>
          <w:rFonts w:asciiTheme="minorEastAsia" w:hAnsiTheme="minorEastAsia" w:eastAsiaTheme="minorEastAsia"/>
          <w:b/>
          <w:bCs/>
          <w:szCs w:val="21"/>
        </w:rPr>
        <w:t>14、不可抗力及意外事件风险：自然灾害、战争等不能预见、不能避免、不能克服的不可抗力事件或系统故障、通讯故障、投资市场或投资品无法正常交易等意外事件的出现，可能对本理财产品的成立、投资、兑付、信息披露、公告通知等造成影响，投资者进而可能面临本金和收益遭受损失的风险。对于由不可抗力及意外事件风险导致的任何损失，投资者须自行承担。</w:t>
      </w:r>
    </w:p>
    <w:p>
      <w:pPr>
        <w:pStyle w:val="45"/>
        <w:snapToGrid w:val="0"/>
        <w:ind w:firstLine="422"/>
        <w:rPr>
          <w:rFonts w:asciiTheme="minorEastAsia" w:hAnsiTheme="minorEastAsia" w:eastAsiaTheme="minorEastAsia"/>
          <w:szCs w:val="21"/>
        </w:rPr>
      </w:pPr>
      <w:r>
        <w:rPr>
          <w:rFonts w:asciiTheme="minorEastAsia" w:hAnsiTheme="minorEastAsia" w:eastAsiaTheme="minorEastAsia"/>
          <w:b/>
          <w:bCs/>
          <w:szCs w:val="21"/>
        </w:rPr>
        <w:t>15、</w:t>
      </w:r>
      <w:r>
        <w:rPr>
          <w:rFonts w:asciiTheme="minorEastAsia" w:hAnsiTheme="minorEastAsia" w:eastAsiaTheme="minorEastAsia"/>
          <w:b/>
          <w:szCs w:val="21"/>
        </w:rPr>
        <w:t>税收风险</w:t>
      </w:r>
      <w:r>
        <w:rPr>
          <w:rFonts w:asciiTheme="minorEastAsia" w:hAnsiTheme="minorEastAsia" w:eastAsiaTheme="minorEastAsia"/>
          <w:szCs w:val="21"/>
        </w:rPr>
        <w:t>：产品管理人暂不负责代扣代缴投资者购买本产品所得收益应缴纳的各项税款。若相关税法法规规定产品管理人应代扣代缴相关税款，产品管理人有权依法履行代扣代缴义务。此外，税收法规的执行及修订可能对本产品投资运作等过程中需缴纳的相关税费产生影响，可能影响投资者收益，甚至造成产品本金损失的风险。</w:t>
      </w:r>
    </w:p>
    <w:p>
      <w:pPr>
        <w:pStyle w:val="45"/>
        <w:snapToGrid w:val="0"/>
        <w:rPr>
          <w:rFonts w:asciiTheme="minorEastAsia" w:hAnsiTheme="minorEastAsia" w:eastAsiaTheme="minorEastAsia"/>
          <w:bCs/>
          <w:szCs w:val="21"/>
        </w:rPr>
      </w:pPr>
      <w:r>
        <w:rPr>
          <w:rFonts w:asciiTheme="minorEastAsia" w:hAnsiTheme="minorEastAsia" w:eastAsiaTheme="minorEastAsia"/>
          <w:szCs w:val="21"/>
        </w:rPr>
        <w:t>16、不同理财产品份额类别存在差异的风险：产品管理人有权根据投资者购买理财产品的销售（代理销售）机构、适合的投资者、购买理财产品的金额等因素，对投资者所持有的理财产品份额设置不同的理财产品份额类别。不同类别的理财产品份额可能在产品份额名称、份额代码 、销售（代理销售）机构、适合的投资者、认购（申购）费率、赎回费率、销售服务费率 、固定管理费率、业绩比较基准、认购（申购）投资起点金额及递增金额、单笔最大购买金额、累计购买金额、最少赎回份额、最低持有份额、产品份额规模上限和下限、产品份额净值的计算结果及信息披露渠道等方面存在差异。</w:t>
      </w:r>
    </w:p>
    <w:p>
      <w:pPr>
        <w:pStyle w:val="45"/>
        <w:snapToGrid w:val="0"/>
        <w:ind w:firstLine="422"/>
        <w:rPr>
          <w:rFonts w:asciiTheme="minorEastAsia" w:hAnsiTheme="minorEastAsia" w:eastAsiaTheme="minorEastAsia"/>
          <w:b/>
          <w:szCs w:val="21"/>
        </w:rPr>
      </w:pPr>
      <w:r>
        <w:rPr>
          <w:rFonts w:asciiTheme="minorEastAsia" w:hAnsiTheme="minorEastAsia" w:eastAsiaTheme="minorEastAsia"/>
          <w:b/>
          <w:szCs w:val="21"/>
        </w:rPr>
        <w:t>本风险揭示书所揭示风险皆为列举性质，未能详尽列明投资者参与本产品所面临的全部风险和可能导致投资者资产损失的所有因素，请投资者充分评估风险。</w:t>
      </w:r>
    </w:p>
    <w:p>
      <w:pPr>
        <w:snapToGrid w:val="0"/>
        <w:spacing w:after="93" w:afterLines="30"/>
        <w:ind w:firstLine="422"/>
        <w:rPr>
          <w:rFonts w:cs="Times New Roman" w:asciiTheme="minorEastAsia" w:hAnsiTheme="minorEastAsia" w:eastAsiaTheme="minorEastAsia"/>
          <w:bCs/>
          <w:iCs/>
          <w:sz w:val="21"/>
          <w:szCs w:val="21"/>
        </w:rPr>
      </w:pPr>
      <w:r>
        <w:rPr>
          <w:rFonts w:cs="Times New Roman" w:asciiTheme="minorEastAsia" w:hAnsiTheme="minorEastAsia" w:eastAsiaTheme="minorEastAsia"/>
          <w:b/>
          <w:bCs/>
          <w:iCs/>
          <w:sz w:val="21"/>
          <w:szCs w:val="21"/>
        </w:rPr>
        <w:t>投资者签署本《风险揭示书》、</w:t>
      </w:r>
      <w:r>
        <w:rPr>
          <w:rFonts w:cs="Times New Roman" w:asciiTheme="minorEastAsia" w:hAnsiTheme="minorEastAsia" w:eastAsiaTheme="minorEastAsia"/>
          <w:bCs/>
          <w:sz w:val="21"/>
          <w:szCs w:val="21"/>
        </w:rPr>
        <w:t>《理财产品投资协议书》、《销售（代理销售）协议书》、《理财产品说明书》和《投资者权益须知》</w:t>
      </w:r>
      <w:r>
        <w:rPr>
          <w:rFonts w:cs="Times New Roman" w:asciiTheme="minorEastAsia" w:hAnsiTheme="minorEastAsia" w:eastAsiaTheme="minorEastAsia"/>
          <w:b/>
          <w:bCs/>
          <w:iCs/>
          <w:sz w:val="21"/>
          <w:szCs w:val="21"/>
        </w:rPr>
        <w:t>，并将资金委托给产品管理人运作是投资者真实的意思表示，投资者已知悉并理解本产品的全部风险，并自愿承担由此带来的一切后果。</w:t>
      </w:r>
      <w:r>
        <w:rPr>
          <w:rFonts w:cs="Times New Roman" w:asciiTheme="minorEastAsia" w:hAnsiTheme="minorEastAsia" w:eastAsiaTheme="minorEastAsia"/>
          <w:bCs/>
          <w:iCs/>
          <w:sz w:val="21"/>
          <w:szCs w:val="21"/>
        </w:rPr>
        <w:t xml:space="preserve">本《风险揭示书》及相应的《销售（代理销售）协议书》、《理财产品投资协议书》、《理财产品说明书》、《投资者权益须知》将共同构成贵我双方理财合同的有效组成部分。本《风险揭示书》中用语的定义与《理财产品说明书》中的用语定义一致。 </w:t>
      </w:r>
    </w:p>
    <w:p>
      <w:pPr>
        <w:spacing w:after="93" w:afterLines="30"/>
        <w:ind w:firstLine="422"/>
        <w:rPr>
          <w:rFonts w:asciiTheme="minorEastAsia" w:hAnsiTheme="minorEastAsia" w:eastAsiaTheme="minorEastAsia"/>
          <w:b/>
          <w:sz w:val="21"/>
          <w:szCs w:val="21"/>
        </w:rPr>
      </w:pPr>
    </w:p>
    <w:tbl>
      <w:tblPr>
        <w:tblStyle w:val="20"/>
        <w:tblW w:w="8154"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967"/>
        <w:gridCol w:w="1104"/>
        <w:gridCol w:w="4282"/>
        <w:gridCol w:w="180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cantSplit/>
          <w:trHeight w:val="154" w:hRule="atLeast"/>
        </w:trPr>
        <w:tc>
          <w:tcPr>
            <w:tcW w:w="8154" w:type="dxa"/>
            <w:gridSpan w:val="4"/>
            <w:tcMar>
              <w:top w:w="15" w:type="dxa"/>
              <w:left w:w="15" w:type="dxa"/>
              <w:bottom w:w="0" w:type="dxa"/>
              <w:right w:w="15" w:type="dxa"/>
            </w:tcMar>
            <w:vAlign w:val="center"/>
          </w:tcPr>
          <w:p>
            <w:pPr>
              <w:widowControl/>
              <w:snapToGrid w:val="0"/>
              <w:spacing w:line="276" w:lineRule="auto"/>
              <w:ind w:firstLine="42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渝农商理财有限责任公司理财产品内部风险评级（仅供参考）</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cantSplit/>
          <w:trHeight w:val="207" w:hRule="atLeast"/>
        </w:trPr>
        <w:tc>
          <w:tcPr>
            <w:tcW w:w="967" w:type="dxa"/>
            <w:tcMar>
              <w:top w:w="15" w:type="dxa"/>
              <w:left w:w="15" w:type="dxa"/>
              <w:bottom w:w="0" w:type="dxa"/>
              <w:right w:w="15" w:type="dxa"/>
            </w:tcMar>
            <w:vAlign w:val="center"/>
          </w:tcPr>
          <w:p>
            <w:pPr>
              <w:widowControl/>
              <w:snapToGrid w:val="0"/>
              <w:spacing w:line="276" w:lineRule="auto"/>
              <w:ind w:firstLine="0" w:firstLineChars="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风险等级</w:t>
            </w:r>
          </w:p>
        </w:tc>
        <w:tc>
          <w:tcPr>
            <w:tcW w:w="1104" w:type="dxa"/>
            <w:vAlign w:val="center"/>
          </w:tcPr>
          <w:p>
            <w:pPr>
              <w:widowControl/>
              <w:snapToGrid w:val="0"/>
              <w:spacing w:line="276" w:lineRule="auto"/>
              <w:ind w:firstLine="14" w:firstLineChars="7"/>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风险水平</w:t>
            </w:r>
          </w:p>
        </w:tc>
        <w:tc>
          <w:tcPr>
            <w:tcW w:w="4282" w:type="dxa"/>
            <w:vAlign w:val="center"/>
          </w:tcPr>
          <w:p>
            <w:pPr>
              <w:widowControl/>
              <w:snapToGrid w:val="0"/>
              <w:spacing w:line="276" w:lineRule="auto"/>
              <w:ind w:firstLine="0" w:firstLineChars="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评级说明</w:t>
            </w:r>
          </w:p>
        </w:tc>
        <w:tc>
          <w:tcPr>
            <w:tcW w:w="1801" w:type="dxa"/>
            <w:vAlign w:val="center"/>
          </w:tcPr>
          <w:p>
            <w:pPr>
              <w:widowControl/>
              <w:snapToGrid w:val="0"/>
              <w:spacing w:line="276" w:lineRule="auto"/>
              <w:ind w:firstLine="14" w:firstLineChars="7"/>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适合投资者</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cantSplit/>
          <w:trHeight w:val="207" w:hRule="atLeast"/>
        </w:trPr>
        <w:tc>
          <w:tcPr>
            <w:tcW w:w="967" w:type="dxa"/>
            <w:tcMar>
              <w:top w:w="15" w:type="dxa"/>
              <w:left w:w="15" w:type="dxa"/>
              <w:bottom w:w="0" w:type="dxa"/>
              <w:right w:w="15" w:type="dxa"/>
            </w:tcMar>
            <w:vAlign w:val="center"/>
          </w:tcPr>
          <w:p>
            <w:pPr>
              <w:widowControl/>
              <w:snapToGrid w:val="0"/>
              <w:spacing w:line="276" w:lineRule="auto"/>
              <w:ind w:firstLine="0" w:firstLineChars="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一级</w:t>
            </w:r>
          </w:p>
        </w:tc>
        <w:tc>
          <w:tcPr>
            <w:tcW w:w="1104" w:type="dxa"/>
            <w:vAlign w:val="center"/>
          </w:tcPr>
          <w:p>
            <w:pPr>
              <w:widowControl/>
              <w:snapToGrid w:val="0"/>
              <w:spacing w:line="276" w:lineRule="auto"/>
              <w:ind w:firstLine="0" w:firstLineChars="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极低风险</w:t>
            </w:r>
          </w:p>
        </w:tc>
        <w:tc>
          <w:tcPr>
            <w:tcW w:w="4282" w:type="dxa"/>
            <w:vAlign w:val="center"/>
          </w:tcPr>
          <w:p>
            <w:pPr>
              <w:widowControl/>
              <w:snapToGrid w:val="0"/>
              <w:spacing w:line="276" w:lineRule="auto"/>
              <w:ind w:firstLine="0" w:firstLineChars="0"/>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产品总体风险程度低，产品净值波动性小，净值回撤可能性及幅度小，产品本金出现损失可能性小。</w:t>
            </w:r>
          </w:p>
        </w:tc>
        <w:tc>
          <w:tcPr>
            <w:tcW w:w="1801" w:type="dxa"/>
            <w:vAlign w:val="center"/>
          </w:tcPr>
          <w:p>
            <w:pPr>
              <w:widowControl/>
              <w:snapToGrid w:val="0"/>
              <w:spacing w:line="276" w:lineRule="auto"/>
              <w:ind w:firstLine="0" w:firstLineChars="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保守型、稳健型、平衡型、积极型、激进型投资者</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cantSplit/>
          <w:trHeight w:val="207" w:hRule="atLeast"/>
        </w:trPr>
        <w:tc>
          <w:tcPr>
            <w:tcW w:w="967" w:type="dxa"/>
            <w:tcMar>
              <w:top w:w="15" w:type="dxa"/>
              <w:left w:w="15" w:type="dxa"/>
              <w:bottom w:w="0" w:type="dxa"/>
              <w:right w:w="15" w:type="dxa"/>
            </w:tcMar>
            <w:vAlign w:val="center"/>
          </w:tcPr>
          <w:p>
            <w:pPr>
              <w:widowControl/>
              <w:snapToGrid w:val="0"/>
              <w:spacing w:line="276" w:lineRule="auto"/>
              <w:ind w:firstLine="0" w:firstLineChars="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二级</w:t>
            </w:r>
          </w:p>
        </w:tc>
        <w:tc>
          <w:tcPr>
            <w:tcW w:w="1104" w:type="dxa"/>
            <w:vAlign w:val="center"/>
          </w:tcPr>
          <w:p>
            <w:pPr>
              <w:widowControl/>
              <w:snapToGrid w:val="0"/>
              <w:spacing w:line="276" w:lineRule="auto"/>
              <w:ind w:firstLine="0" w:firstLineChars="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较低风险</w:t>
            </w:r>
          </w:p>
        </w:tc>
        <w:tc>
          <w:tcPr>
            <w:tcW w:w="4282" w:type="dxa"/>
            <w:vAlign w:val="center"/>
          </w:tcPr>
          <w:p>
            <w:pPr>
              <w:widowControl/>
              <w:snapToGrid w:val="0"/>
              <w:spacing w:line="276" w:lineRule="auto"/>
              <w:ind w:firstLine="0" w:firstLineChars="0"/>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产品总体风险程度较低，产品净值波动性较小，净值回撤可能性及幅度较小，虽然存在一些可能对产品本金和收益产生不利影响的因素，但产品本金出现损失可能性较小。</w:t>
            </w:r>
          </w:p>
        </w:tc>
        <w:tc>
          <w:tcPr>
            <w:tcW w:w="1801" w:type="dxa"/>
            <w:vAlign w:val="center"/>
          </w:tcPr>
          <w:p>
            <w:pPr>
              <w:widowControl/>
              <w:snapToGrid w:val="0"/>
              <w:spacing w:line="276" w:lineRule="auto"/>
              <w:ind w:firstLine="0" w:firstLineChars="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稳健型、平衡型、积极型、激进型投资者</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cantSplit/>
          <w:trHeight w:val="207" w:hRule="atLeast"/>
        </w:trPr>
        <w:tc>
          <w:tcPr>
            <w:tcW w:w="967" w:type="dxa"/>
            <w:tcMar>
              <w:top w:w="15" w:type="dxa"/>
              <w:left w:w="15" w:type="dxa"/>
              <w:bottom w:w="0" w:type="dxa"/>
              <w:right w:w="15" w:type="dxa"/>
            </w:tcMar>
            <w:vAlign w:val="center"/>
          </w:tcPr>
          <w:p>
            <w:pPr>
              <w:widowControl/>
              <w:snapToGrid w:val="0"/>
              <w:spacing w:line="276" w:lineRule="auto"/>
              <w:ind w:firstLine="0" w:firstLineChars="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三级</w:t>
            </w:r>
          </w:p>
        </w:tc>
        <w:tc>
          <w:tcPr>
            <w:tcW w:w="1104" w:type="dxa"/>
            <w:vAlign w:val="center"/>
          </w:tcPr>
          <w:p>
            <w:pPr>
              <w:widowControl/>
              <w:snapToGrid w:val="0"/>
              <w:spacing w:line="276" w:lineRule="auto"/>
              <w:ind w:firstLine="0" w:firstLineChars="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中等风险</w:t>
            </w:r>
          </w:p>
        </w:tc>
        <w:tc>
          <w:tcPr>
            <w:tcW w:w="4282" w:type="dxa"/>
            <w:vAlign w:val="center"/>
          </w:tcPr>
          <w:p>
            <w:pPr>
              <w:widowControl/>
              <w:snapToGrid w:val="0"/>
              <w:spacing w:line="276" w:lineRule="auto"/>
              <w:ind w:firstLine="0" w:firstLineChars="0"/>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产品总体风险程度适中，产品净值存在一定波动，净值可能发生回撤或发生投资损失，但幅度较小，产品本金出现损失的可能性不容忽视。</w:t>
            </w:r>
          </w:p>
        </w:tc>
        <w:tc>
          <w:tcPr>
            <w:tcW w:w="1801" w:type="dxa"/>
            <w:vAlign w:val="center"/>
          </w:tcPr>
          <w:p>
            <w:pPr>
              <w:widowControl/>
              <w:snapToGrid w:val="0"/>
              <w:spacing w:line="276" w:lineRule="auto"/>
              <w:ind w:firstLine="0" w:firstLineChars="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平衡型、积极型、激进型投资者</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cantSplit/>
          <w:trHeight w:val="207" w:hRule="atLeast"/>
        </w:trPr>
        <w:tc>
          <w:tcPr>
            <w:tcW w:w="967" w:type="dxa"/>
            <w:tcMar>
              <w:top w:w="15" w:type="dxa"/>
              <w:left w:w="15" w:type="dxa"/>
              <w:bottom w:w="0" w:type="dxa"/>
              <w:right w:w="15" w:type="dxa"/>
            </w:tcMar>
            <w:vAlign w:val="center"/>
          </w:tcPr>
          <w:p>
            <w:pPr>
              <w:widowControl/>
              <w:snapToGrid w:val="0"/>
              <w:spacing w:line="276" w:lineRule="auto"/>
              <w:ind w:firstLine="0" w:firstLineChars="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四级</w:t>
            </w:r>
          </w:p>
        </w:tc>
        <w:tc>
          <w:tcPr>
            <w:tcW w:w="1104" w:type="dxa"/>
            <w:vAlign w:val="center"/>
          </w:tcPr>
          <w:p>
            <w:pPr>
              <w:widowControl/>
              <w:snapToGrid w:val="0"/>
              <w:spacing w:line="276" w:lineRule="auto"/>
              <w:ind w:firstLine="0" w:firstLineChars="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中高风险</w:t>
            </w:r>
          </w:p>
        </w:tc>
        <w:tc>
          <w:tcPr>
            <w:tcW w:w="4282" w:type="dxa"/>
            <w:vAlign w:val="center"/>
          </w:tcPr>
          <w:p>
            <w:pPr>
              <w:widowControl/>
              <w:snapToGrid w:val="0"/>
              <w:spacing w:line="276" w:lineRule="auto"/>
              <w:ind w:firstLine="0" w:firstLineChars="0"/>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产品总体风险程度较高，产品净值波动性较明显，净值可能发生一定幅度的回撤，发生投资损失的幅度、可能性较高，产品本金出现损失的可能性高。</w:t>
            </w:r>
          </w:p>
        </w:tc>
        <w:tc>
          <w:tcPr>
            <w:tcW w:w="1801" w:type="dxa"/>
            <w:vAlign w:val="center"/>
          </w:tcPr>
          <w:p>
            <w:pPr>
              <w:widowControl/>
              <w:snapToGrid w:val="0"/>
              <w:spacing w:line="276" w:lineRule="auto"/>
              <w:ind w:firstLine="0" w:firstLineChars="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积极型、激进型投资者</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cantSplit/>
          <w:trHeight w:val="207" w:hRule="atLeast"/>
        </w:trPr>
        <w:tc>
          <w:tcPr>
            <w:tcW w:w="967" w:type="dxa"/>
            <w:tcMar>
              <w:top w:w="15" w:type="dxa"/>
              <w:left w:w="15" w:type="dxa"/>
              <w:bottom w:w="0" w:type="dxa"/>
              <w:right w:w="15" w:type="dxa"/>
            </w:tcMar>
            <w:vAlign w:val="center"/>
          </w:tcPr>
          <w:p>
            <w:pPr>
              <w:widowControl/>
              <w:snapToGrid w:val="0"/>
              <w:spacing w:line="276" w:lineRule="auto"/>
              <w:ind w:firstLine="0" w:firstLineChars="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五级</w:t>
            </w:r>
          </w:p>
        </w:tc>
        <w:tc>
          <w:tcPr>
            <w:tcW w:w="1104" w:type="dxa"/>
            <w:vAlign w:val="center"/>
          </w:tcPr>
          <w:p>
            <w:pPr>
              <w:widowControl/>
              <w:snapToGrid w:val="0"/>
              <w:spacing w:line="276" w:lineRule="auto"/>
              <w:ind w:firstLine="0" w:firstLineChars="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高风险</w:t>
            </w:r>
          </w:p>
        </w:tc>
        <w:tc>
          <w:tcPr>
            <w:tcW w:w="4282" w:type="dxa"/>
            <w:vAlign w:val="center"/>
          </w:tcPr>
          <w:p>
            <w:pPr>
              <w:widowControl/>
              <w:snapToGrid w:val="0"/>
              <w:spacing w:line="276" w:lineRule="auto"/>
              <w:ind w:firstLine="0" w:firstLineChars="0"/>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产品总体风险程度高，产品净值波动明显，净值可能发生较大幅度回撤，发生投资损失的幅度、可能性高，产品本金出现全部损失的可能性不容忽视。</w:t>
            </w:r>
          </w:p>
        </w:tc>
        <w:tc>
          <w:tcPr>
            <w:tcW w:w="1801" w:type="dxa"/>
            <w:vAlign w:val="center"/>
          </w:tcPr>
          <w:p>
            <w:pPr>
              <w:widowControl/>
              <w:snapToGrid w:val="0"/>
              <w:spacing w:line="276" w:lineRule="auto"/>
              <w:ind w:firstLine="0" w:firstLineChars="0"/>
              <w:jc w:val="center"/>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激进型投资者</w:t>
            </w:r>
          </w:p>
        </w:tc>
      </w:tr>
    </w:tbl>
    <w:p>
      <w:pPr>
        <w:pStyle w:val="45"/>
        <w:snapToGrid w:val="0"/>
        <w:rPr>
          <w:rFonts w:asciiTheme="minorEastAsia" w:hAnsiTheme="minorEastAsia" w:eastAsiaTheme="minorEastAsia"/>
          <w:bCs/>
          <w:szCs w:val="21"/>
        </w:rPr>
      </w:pPr>
    </w:p>
    <w:p>
      <w:pPr>
        <w:pStyle w:val="45"/>
        <w:spacing w:line="276" w:lineRule="auto"/>
        <w:rPr>
          <w:rFonts w:asciiTheme="minorEastAsia" w:hAnsiTheme="minorEastAsia" w:eastAsiaTheme="minorEastAsia"/>
          <w:bCs/>
          <w:szCs w:val="21"/>
        </w:rPr>
      </w:pPr>
    </w:p>
    <w:p>
      <w:pPr>
        <w:pStyle w:val="45"/>
        <w:spacing w:line="276" w:lineRule="auto"/>
        <w:rPr>
          <w:rFonts w:asciiTheme="minorEastAsia" w:hAnsiTheme="minorEastAsia" w:eastAsiaTheme="minorEastAsia"/>
          <w:bCs/>
          <w:szCs w:val="21"/>
        </w:rPr>
      </w:pPr>
    </w:p>
    <w:p>
      <w:pPr>
        <w:pStyle w:val="45"/>
        <w:spacing w:line="276" w:lineRule="auto"/>
        <w:rPr>
          <w:rFonts w:asciiTheme="minorEastAsia" w:hAnsiTheme="minorEastAsia" w:eastAsiaTheme="minorEastAsia"/>
          <w:bCs/>
          <w:szCs w:val="21"/>
        </w:rPr>
      </w:pPr>
    </w:p>
    <w:p>
      <w:pPr>
        <w:pStyle w:val="45"/>
        <w:spacing w:line="276" w:lineRule="auto"/>
        <w:rPr>
          <w:rFonts w:asciiTheme="minorEastAsia" w:hAnsiTheme="minorEastAsia" w:eastAsiaTheme="minorEastAsia"/>
          <w:bCs/>
          <w:szCs w:val="21"/>
        </w:rPr>
      </w:pPr>
    </w:p>
    <w:p>
      <w:pPr>
        <w:spacing w:line="276" w:lineRule="auto"/>
        <w:ind w:left="142" w:leftChars="13" w:hanging="111" w:hangingChars="53"/>
        <w:rPr>
          <w:rFonts w:cs="Arial" w:asciiTheme="minorEastAsia" w:hAnsiTheme="minorEastAsia" w:eastAsiaTheme="minorEastAsia"/>
          <w:sz w:val="21"/>
          <w:szCs w:val="21"/>
        </w:rPr>
      </w:pPr>
      <w:r>
        <w:rPr>
          <w:rFonts w:cs="Arial" w:asciiTheme="minorEastAsia" w:hAnsiTheme="minorEastAsia" w:eastAsiaTheme="minorEastAsia"/>
          <w:sz w:val="21"/>
          <w:szCs w:val="21"/>
        </w:rPr>
        <w:pict>
          <v:shape id="_x0000_s1026" o:spid="_x0000_s1026" o:spt="202" type="#_x0000_t202" style="height:446.6pt;width:408.8pt;" filled="f" stroked="t" coordsize="21600,21600">
            <v:path/>
            <v:fill on="f" focussize="0,0"/>
            <v:stroke weight="1pt" color="#333300" joinstyle="miter"/>
            <v:imagedata o:title=""/>
            <o:lock v:ext="edit"/>
            <v:textbox>
              <w:txbxContent>
                <w:p>
                  <w:pPr>
                    <w:snapToGrid w:val="0"/>
                    <w:ind w:firstLine="560"/>
                    <w:jc w:val="center"/>
                    <w:rPr>
                      <w:rFonts w:ascii="Times New Roman" w:eastAsia="方正楷体_GBK" w:cs="Times New Roman"/>
                      <w:sz w:val="28"/>
                      <w:szCs w:val="28"/>
                      <w:u w:val="single"/>
                    </w:rPr>
                  </w:pPr>
                  <w:r>
                    <w:rPr>
                      <w:rFonts w:ascii="Times New Roman" w:eastAsia="方正楷体_GBK" w:cs="Times New Roman"/>
                      <w:sz w:val="28"/>
                      <w:szCs w:val="28"/>
                      <w:u w:val="single"/>
                    </w:rPr>
                    <w:t>投资者风险确认栏</w:t>
                  </w:r>
                </w:p>
                <w:p>
                  <w:pPr>
                    <w:snapToGrid w:val="0"/>
                    <w:ind w:firstLine="420"/>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本人/本机构确认已经收到本理财产品的风险揭示书，且已经认真阅读本理财产品完整合同（包括《理财产品投资协议书》、《销售（代理销售）协议书》、《理财产品说明书》、《风险揭示书》和《投资者权益须知》），充分了解并清楚知晓理财产品的风险，愿意承担相关风险，接受本理财产品合同全部约定。本人/本机构确认理解投资本理财产品将涉及的所有风险，并将承担且有能力承担该等风险。</w:t>
                  </w:r>
                </w:p>
                <w:p>
                  <w:pPr>
                    <w:snapToGrid w:val="0"/>
                    <w:ind w:firstLine="420"/>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经销售（代理销售）机构评估，本人风险承受能力评级为：</w:t>
                  </w:r>
                  <w:r>
                    <w:rPr>
                      <w:rFonts w:cs="Times New Roman" w:asciiTheme="minorEastAsia" w:hAnsiTheme="minorEastAsia" w:eastAsiaTheme="minorEastAsia"/>
                      <w:sz w:val="21"/>
                      <w:szCs w:val="21"/>
                      <w:u w:val="single"/>
                    </w:rPr>
                    <w:t xml:space="preserve">         </w:t>
                  </w:r>
                  <w:r>
                    <w:rPr>
                      <w:rFonts w:cs="Times New Roman" w:asciiTheme="minorEastAsia" w:hAnsiTheme="minorEastAsia" w:eastAsiaTheme="minorEastAsia"/>
                      <w:sz w:val="21"/>
                      <w:szCs w:val="21"/>
                    </w:rPr>
                    <w:t>（个人投资者自行填写），风险承受能力不低于本理财产品的风险评级，适合购买本理财产品，如影响风险承受能力的因素发生变化，本人将及时完成风险承受能力的重新评估。</w:t>
                  </w:r>
                </w:p>
                <w:p>
                  <w:pPr>
                    <w:snapToGrid w:val="0"/>
                    <w:ind w:firstLine="420"/>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须投资者亲笔抄录以下内容：“</w:t>
                  </w:r>
                  <w:r>
                    <w:rPr>
                      <w:rFonts w:cs="Times New Roman" w:asciiTheme="minorEastAsia" w:hAnsiTheme="minorEastAsia" w:eastAsiaTheme="minorEastAsia"/>
                      <w:b/>
                      <w:bCs/>
                      <w:sz w:val="21"/>
                      <w:szCs w:val="21"/>
                    </w:rPr>
                    <w:t>本人/本机构已经阅读风险揭示，愿意承担投资风险</w:t>
                  </w:r>
                  <w:r>
                    <w:rPr>
                      <w:rFonts w:cs="Times New Roman" w:asciiTheme="minorEastAsia" w:hAnsiTheme="minorEastAsia" w:eastAsiaTheme="minorEastAsia"/>
                      <w:sz w:val="21"/>
                      <w:szCs w:val="21"/>
                    </w:rPr>
                    <w:t>。”</w:t>
                  </w:r>
                </w:p>
                <w:p>
                  <w:pPr>
                    <w:spacing w:line="276" w:lineRule="auto"/>
                    <w:ind w:firstLine="560"/>
                    <w:rPr>
                      <w:rFonts w:ascii="Times New Roman" w:eastAsia="方正楷体_GBK" w:cs="Times New Roman"/>
                      <w:sz w:val="28"/>
                      <w:szCs w:val="28"/>
                      <w:u w:val="single"/>
                    </w:rPr>
                  </w:pPr>
                </w:p>
                <w:p>
                  <w:pPr>
                    <w:spacing w:line="276" w:lineRule="auto"/>
                    <w:ind w:firstLine="560"/>
                    <w:rPr>
                      <w:rFonts w:ascii="Times New Roman" w:eastAsia="方正楷体_GBK" w:cs="Times New Roman"/>
                      <w:sz w:val="28"/>
                      <w:szCs w:val="28"/>
                      <w:u w:val="single"/>
                    </w:rPr>
                  </w:pPr>
                  <w:r>
                    <w:rPr>
                      <w:rFonts w:ascii="Times New Roman" w:eastAsia="方正楷体_GBK" w:cs="Times New Roman"/>
                      <w:sz w:val="28"/>
                      <w:szCs w:val="28"/>
                      <w:u w:val="single"/>
                    </w:rPr>
                    <w:t xml:space="preserve">                                                                     </w:t>
                  </w:r>
                </w:p>
                <w:p>
                  <w:pPr>
                    <w:spacing w:line="276" w:lineRule="auto"/>
                    <w:ind w:firstLine="560"/>
                    <w:rPr>
                      <w:rFonts w:ascii="Times New Roman" w:eastAsia="方正楷体_GBK" w:cs="Times New Roman"/>
                      <w:sz w:val="28"/>
                      <w:szCs w:val="28"/>
                    </w:rPr>
                  </w:pPr>
                </w:p>
                <w:p>
                  <w:pPr>
                    <w:spacing w:line="276" w:lineRule="auto"/>
                    <w:ind w:firstLine="420"/>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个人投资者签字：</w:t>
                  </w:r>
                </w:p>
                <w:p>
                  <w:pPr>
                    <w:spacing w:line="276" w:lineRule="auto"/>
                    <w:ind w:firstLine="420"/>
                    <w:rPr>
                      <w:rFonts w:cs="Times New Roman" w:asciiTheme="minorEastAsia" w:hAnsiTheme="minorEastAsia" w:eastAsiaTheme="minorEastAsia"/>
                      <w:sz w:val="21"/>
                      <w:szCs w:val="21"/>
                    </w:rPr>
                  </w:pPr>
                </w:p>
                <w:p>
                  <w:pPr>
                    <w:spacing w:line="276" w:lineRule="auto"/>
                    <w:ind w:firstLine="420"/>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机构投资者（盖章）：</w:t>
                  </w:r>
                </w:p>
                <w:p>
                  <w:pPr>
                    <w:spacing w:line="276" w:lineRule="auto"/>
                    <w:ind w:firstLine="420"/>
                    <w:rPr>
                      <w:rFonts w:cs="Times New Roman" w:asciiTheme="minorEastAsia" w:hAnsiTheme="minorEastAsia" w:eastAsiaTheme="minorEastAsia"/>
                      <w:sz w:val="21"/>
                      <w:szCs w:val="21"/>
                    </w:rPr>
                  </w:pPr>
                </w:p>
                <w:p>
                  <w:pPr>
                    <w:spacing w:line="276" w:lineRule="auto"/>
                    <w:ind w:firstLine="420"/>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机构投资者法定代表人或授权代表（签字或盖章）：</w:t>
                  </w:r>
                </w:p>
                <w:p>
                  <w:pPr>
                    <w:ind w:firstLine="560"/>
                    <w:rPr>
                      <w:rFonts w:ascii="Times New Roman" w:eastAsia="方正楷体_GBK" w:cs="Times New Roman"/>
                      <w:sz w:val="28"/>
                      <w:szCs w:val="28"/>
                    </w:rPr>
                  </w:pPr>
                </w:p>
                <w:p>
                  <w:pPr>
                    <w:ind w:firstLine="420"/>
                    <w:rPr>
                      <w:rFonts w:cs="Times New Roman" w:asciiTheme="minorEastAsia" w:hAnsiTheme="minorEastAsia" w:eastAsiaTheme="minorEastAsia"/>
                      <w:sz w:val="21"/>
                      <w:szCs w:val="21"/>
                      <w:u w:val="single"/>
                    </w:rPr>
                  </w:pPr>
                  <w:r>
                    <w:rPr>
                      <w:rFonts w:cs="Times New Roman" w:asciiTheme="minorEastAsia" w:hAnsiTheme="minorEastAsia" w:eastAsiaTheme="minorEastAsia"/>
                      <w:sz w:val="21"/>
                      <w:szCs w:val="21"/>
                    </w:rPr>
                    <w:t>日期：</w:t>
                  </w:r>
                </w:p>
                <w:p>
                  <w:pPr>
                    <w:ind w:left="4200" w:firstLine="560"/>
                    <w:rPr>
                      <w:rFonts w:ascii="Times New Roman" w:eastAsia="方正楷体_GBK" w:cs="Times New Roman"/>
                      <w:sz w:val="28"/>
                      <w:szCs w:val="28"/>
                    </w:rPr>
                  </w:pPr>
                </w:p>
              </w:txbxContent>
            </v:textbox>
            <w10:wrap type="none"/>
            <w10:anchorlock/>
          </v:shape>
        </w:pict>
      </w:r>
    </w:p>
    <w:p>
      <w:pPr>
        <w:spacing w:line="276" w:lineRule="auto"/>
        <w:ind w:firstLine="4410" w:firstLineChars="2100"/>
        <w:rPr>
          <w:rFonts w:cs="Times New Roman" w:asciiTheme="minorEastAsia" w:hAnsiTheme="minorEastAsia" w:eastAsiaTheme="minorEastAsia"/>
          <w:sz w:val="21"/>
          <w:szCs w:val="21"/>
        </w:rPr>
      </w:pPr>
    </w:p>
    <w:p>
      <w:pPr>
        <w:spacing w:line="276" w:lineRule="auto"/>
        <w:ind w:firstLine="4410" w:firstLineChars="2100"/>
        <w:rPr>
          <w:rFonts w:cs="Times New Roman" w:asciiTheme="minorEastAsia" w:hAnsiTheme="minorEastAsia" w:eastAsiaTheme="minorEastAsia"/>
          <w:sz w:val="21"/>
          <w:szCs w:val="21"/>
        </w:rPr>
      </w:pPr>
    </w:p>
    <w:p>
      <w:pPr>
        <w:spacing w:line="276" w:lineRule="auto"/>
        <w:ind w:firstLine="4427" w:firstLineChars="2100"/>
        <w:rPr>
          <w:rFonts w:cs="Times New Roman" w:asciiTheme="minorEastAsia" w:hAnsiTheme="minorEastAsia" w:eastAsiaTheme="minorEastAsia"/>
          <w:b/>
          <w:bCs/>
          <w:sz w:val="21"/>
          <w:szCs w:val="21"/>
        </w:rPr>
      </w:pPr>
      <w:r>
        <w:rPr>
          <w:rFonts w:cs="Times New Roman" w:asciiTheme="minorEastAsia" w:hAnsiTheme="minorEastAsia" w:eastAsiaTheme="minorEastAsia"/>
          <w:b/>
          <w:bCs/>
          <w:sz w:val="21"/>
          <w:szCs w:val="21"/>
        </w:rPr>
        <w:t>风险揭示方：渝农商理财有限责任公司</w:t>
      </w:r>
    </w:p>
    <w:p>
      <w:pPr>
        <w:widowControl/>
        <w:autoSpaceDE/>
        <w:autoSpaceDN/>
        <w:adjustRightInd/>
        <w:ind w:firstLine="0" w:firstLineChars="0"/>
        <w:rPr>
          <w:rFonts w:cs="Times New Roman" w:asciiTheme="minorEastAsia" w:hAnsiTheme="minorEastAsia" w:eastAsiaTheme="minorEastAsia"/>
          <w:b/>
          <w:bCs/>
          <w:sz w:val="21"/>
          <w:szCs w:val="21"/>
        </w:rPr>
      </w:pPr>
      <w:r>
        <w:rPr>
          <w:rFonts w:cs="Times New Roman" w:asciiTheme="minorEastAsia" w:hAnsiTheme="minorEastAsia" w:eastAsiaTheme="minorEastAsia"/>
          <w:b/>
          <w:bCs/>
          <w:sz w:val="21"/>
          <w:szCs w:val="21"/>
        </w:rPr>
        <w:br w:type="page"/>
      </w:r>
    </w:p>
    <w:p>
      <w:pPr>
        <w:spacing w:line="276" w:lineRule="auto"/>
        <w:ind w:firstLine="482"/>
        <w:rPr>
          <w:rFonts w:ascii="Times New Roman"/>
          <w:b/>
          <w:szCs w:val="21"/>
        </w:rPr>
      </w:pPr>
    </w:p>
    <w:p>
      <w:pPr>
        <w:spacing w:line="276" w:lineRule="auto"/>
        <w:ind w:firstLine="0" w:firstLineChars="0"/>
        <w:jc w:val="center"/>
        <w:rPr>
          <w:rFonts w:asciiTheme="minorEastAsia" w:hAnsiTheme="minorEastAsia" w:eastAsiaTheme="minorEastAsia"/>
          <w:b/>
          <w:sz w:val="32"/>
          <w:szCs w:val="32"/>
        </w:rPr>
      </w:pPr>
      <w:r>
        <w:rPr>
          <w:rFonts w:asciiTheme="minorEastAsia" w:hAnsiTheme="minorEastAsia" w:eastAsiaTheme="minorEastAsia"/>
          <w:b/>
          <w:sz w:val="32"/>
          <w:szCs w:val="32"/>
        </w:rPr>
        <w:t>渝农商理财有限责任公司</w:t>
      </w:r>
    </w:p>
    <w:p>
      <w:pPr>
        <w:spacing w:line="276" w:lineRule="auto"/>
        <w:ind w:firstLine="0" w:firstLineChars="0"/>
        <w:jc w:val="center"/>
        <w:rPr>
          <w:rFonts w:asciiTheme="minorEastAsia" w:hAnsiTheme="minorEastAsia" w:eastAsiaTheme="minorEastAsia"/>
          <w:b/>
          <w:sz w:val="32"/>
          <w:szCs w:val="32"/>
        </w:rPr>
      </w:pPr>
      <w:r>
        <w:rPr>
          <w:rFonts w:asciiTheme="minorEastAsia" w:hAnsiTheme="minorEastAsia" w:eastAsiaTheme="minorEastAsia"/>
          <w:b/>
          <w:sz w:val="32"/>
          <w:szCs w:val="32"/>
        </w:rPr>
        <w:t>渝农商理财益进</w:t>
      </w:r>
      <w:r>
        <w:rPr>
          <w:rFonts w:hint="eastAsia" w:asciiTheme="minorEastAsia" w:hAnsiTheme="minorEastAsia" w:eastAsiaTheme="minorEastAsia"/>
          <w:b/>
          <w:sz w:val="32"/>
          <w:szCs w:val="32"/>
        </w:rPr>
        <w:t>乡村振兴</w:t>
      </w:r>
      <w:r>
        <w:rPr>
          <w:rFonts w:asciiTheme="minorEastAsia" w:hAnsiTheme="minorEastAsia" w:eastAsiaTheme="minorEastAsia"/>
          <w:b/>
          <w:sz w:val="32"/>
          <w:szCs w:val="32"/>
        </w:rPr>
        <w:t>封闭式202</w:t>
      </w:r>
      <w:r>
        <w:rPr>
          <w:rFonts w:hint="eastAsia" w:asciiTheme="minorEastAsia" w:hAnsiTheme="minorEastAsia" w:eastAsiaTheme="minorEastAsia"/>
          <w:b/>
          <w:sz w:val="32"/>
          <w:szCs w:val="32"/>
        </w:rPr>
        <w:t>5</w:t>
      </w:r>
      <w:r>
        <w:rPr>
          <w:rFonts w:asciiTheme="minorEastAsia" w:hAnsiTheme="minorEastAsia" w:eastAsiaTheme="minorEastAsia"/>
          <w:b/>
          <w:sz w:val="32"/>
          <w:szCs w:val="32"/>
        </w:rPr>
        <w:t>年</w:t>
      </w:r>
      <w:r>
        <w:rPr>
          <w:rFonts w:hint="eastAsia" w:asciiTheme="minorEastAsia" w:hAnsiTheme="minorEastAsia" w:eastAsiaTheme="minorEastAsia"/>
          <w:b/>
          <w:sz w:val="32"/>
          <w:szCs w:val="32"/>
        </w:rPr>
        <w:t>第42101</w:t>
      </w:r>
      <w:r>
        <w:rPr>
          <w:rFonts w:asciiTheme="minorEastAsia" w:hAnsiTheme="minorEastAsia" w:eastAsiaTheme="minorEastAsia"/>
          <w:b/>
          <w:sz w:val="32"/>
          <w:szCs w:val="32"/>
        </w:rPr>
        <w:t>期</w:t>
      </w:r>
    </w:p>
    <w:p>
      <w:pPr>
        <w:spacing w:line="276" w:lineRule="auto"/>
        <w:ind w:firstLine="0" w:firstLineChars="0"/>
        <w:jc w:val="center"/>
        <w:rPr>
          <w:rFonts w:asciiTheme="minorEastAsia" w:hAnsiTheme="minorEastAsia" w:eastAsiaTheme="minorEastAsia"/>
          <w:b/>
          <w:sz w:val="32"/>
          <w:szCs w:val="32"/>
        </w:rPr>
      </w:pPr>
      <w:r>
        <w:rPr>
          <w:rFonts w:asciiTheme="minorEastAsia" w:hAnsiTheme="minorEastAsia" w:eastAsiaTheme="minorEastAsia"/>
          <w:b/>
          <w:sz w:val="32"/>
          <w:szCs w:val="32"/>
        </w:rPr>
        <w:t>理财产品说明书</w:t>
      </w:r>
    </w:p>
    <w:p>
      <w:pPr>
        <w:tabs>
          <w:tab w:val="center" w:pos="4434"/>
        </w:tabs>
        <w:spacing w:line="276" w:lineRule="auto"/>
        <w:ind w:firstLine="0" w:firstLineChars="0"/>
        <w:jc w:val="center"/>
        <w:rPr>
          <w:rFonts w:asciiTheme="minorEastAsia" w:hAnsiTheme="minorEastAsia" w:eastAsiaTheme="minorEastAsia"/>
          <w:b/>
          <w:bCs/>
          <w:sz w:val="32"/>
          <w:szCs w:val="32"/>
        </w:rPr>
      </w:pPr>
      <w:r>
        <w:rPr>
          <w:rFonts w:asciiTheme="minorEastAsia" w:hAnsiTheme="minorEastAsia" w:eastAsiaTheme="minorEastAsia"/>
          <w:b/>
          <w:bCs/>
          <w:sz w:val="32"/>
          <w:szCs w:val="32"/>
        </w:rPr>
        <w:t>（2</w:t>
      </w:r>
      <w:r>
        <w:rPr>
          <w:rFonts w:hint="eastAsia" w:asciiTheme="minorEastAsia" w:hAnsiTheme="minorEastAsia" w:eastAsiaTheme="minorEastAsia"/>
          <w:b/>
          <w:bCs/>
          <w:sz w:val="32"/>
          <w:szCs w:val="32"/>
        </w:rPr>
        <w:t>5</w:t>
      </w:r>
      <w:r>
        <w:rPr>
          <w:rFonts w:asciiTheme="minorEastAsia" w:hAnsiTheme="minorEastAsia" w:eastAsiaTheme="minorEastAsia"/>
          <w:b/>
          <w:bCs/>
          <w:sz w:val="32"/>
          <w:szCs w:val="32"/>
        </w:rPr>
        <w:t>GSGF</w:t>
      </w:r>
      <w:r>
        <w:rPr>
          <w:rFonts w:hint="eastAsia" w:asciiTheme="minorEastAsia" w:hAnsiTheme="minorEastAsia" w:eastAsiaTheme="minorEastAsia"/>
          <w:b/>
          <w:bCs/>
          <w:sz w:val="32"/>
          <w:szCs w:val="32"/>
        </w:rPr>
        <w:t>42101</w:t>
      </w:r>
      <w:r>
        <w:rPr>
          <w:rFonts w:asciiTheme="minorEastAsia" w:hAnsiTheme="minorEastAsia" w:eastAsiaTheme="minorEastAsia"/>
          <w:b/>
          <w:bCs/>
          <w:sz w:val="32"/>
          <w:szCs w:val="32"/>
        </w:rPr>
        <w:t>）</w:t>
      </w:r>
    </w:p>
    <w:p>
      <w:pPr>
        <w:snapToGrid w:val="0"/>
        <w:spacing w:line="440" w:lineRule="exact"/>
        <w:ind w:firstLine="0" w:firstLineChars="0"/>
        <w:rPr>
          <w:rFonts w:asciiTheme="minorEastAsia" w:hAnsiTheme="minorEastAsia" w:eastAsiaTheme="minorEastAsia"/>
          <w:b/>
          <w:sz w:val="21"/>
          <w:szCs w:val="21"/>
        </w:rPr>
      </w:pPr>
      <w:r>
        <w:rPr>
          <w:rFonts w:asciiTheme="minorEastAsia" w:hAnsiTheme="minorEastAsia" w:eastAsiaTheme="minorEastAsia"/>
          <w:b/>
          <w:sz w:val="21"/>
          <w:szCs w:val="21"/>
        </w:rPr>
        <w:t>重要提示：</w:t>
      </w:r>
    </w:p>
    <w:p>
      <w:pPr>
        <w:pStyle w:val="47"/>
        <w:tabs>
          <w:tab w:val="left" w:pos="420"/>
        </w:tabs>
        <w:snapToGrid w:val="0"/>
        <w:spacing w:line="440" w:lineRule="exact"/>
        <w:ind w:firstLine="0" w:firstLineChars="0"/>
        <w:jc w:val="left"/>
        <w:rPr>
          <w:rFonts w:asciiTheme="minorEastAsia" w:hAnsiTheme="minorEastAsia" w:eastAsiaTheme="minorEastAsia"/>
          <w:b/>
          <w:szCs w:val="21"/>
        </w:rPr>
      </w:pPr>
      <w:r>
        <w:rPr>
          <w:rFonts w:asciiTheme="minorEastAsia" w:hAnsiTheme="minorEastAsia" w:eastAsiaTheme="minorEastAsia"/>
          <w:b/>
          <w:szCs w:val="21"/>
        </w:rPr>
        <w:t>一、本</w:t>
      </w:r>
      <w:bookmarkStart w:id="3" w:name="_Hlk159329848"/>
      <w:r>
        <w:rPr>
          <w:rFonts w:asciiTheme="minorEastAsia" w:hAnsiTheme="minorEastAsia" w:eastAsiaTheme="minorEastAsia"/>
          <w:b/>
          <w:szCs w:val="21"/>
        </w:rPr>
        <w:t>《理财产品说明书》与《理财产品投资协议书》、《销售（代理销售）协议书》、《风险揭示书》、《投资者权益须知》</w:t>
      </w:r>
      <w:bookmarkEnd w:id="3"/>
      <w:r>
        <w:rPr>
          <w:rFonts w:asciiTheme="minorEastAsia" w:hAnsiTheme="minorEastAsia" w:eastAsiaTheme="minorEastAsia"/>
          <w:b/>
          <w:szCs w:val="21"/>
        </w:rPr>
        <w:t>共同构成完整的不可分割的理财产品销售文件，具有同等的法律效力；</w:t>
      </w:r>
    </w:p>
    <w:p>
      <w:pPr>
        <w:pStyle w:val="47"/>
        <w:tabs>
          <w:tab w:val="left" w:pos="420"/>
        </w:tabs>
        <w:snapToGrid w:val="0"/>
        <w:spacing w:line="440" w:lineRule="exact"/>
        <w:ind w:firstLine="0" w:firstLineChars="0"/>
        <w:jc w:val="left"/>
        <w:rPr>
          <w:rFonts w:asciiTheme="minorEastAsia" w:hAnsiTheme="minorEastAsia" w:eastAsiaTheme="minorEastAsia"/>
          <w:b/>
          <w:szCs w:val="21"/>
        </w:rPr>
      </w:pPr>
      <w:r>
        <w:rPr>
          <w:rFonts w:asciiTheme="minorEastAsia" w:hAnsiTheme="minorEastAsia" w:eastAsiaTheme="minorEastAsia"/>
          <w:b/>
          <w:szCs w:val="21"/>
        </w:rPr>
        <w:t>二、本产品是由渝农商理财有限责任公司自主设计、投资与运作的理财产品；</w:t>
      </w:r>
    </w:p>
    <w:p>
      <w:pPr>
        <w:pStyle w:val="47"/>
        <w:tabs>
          <w:tab w:val="left" w:pos="420"/>
        </w:tabs>
        <w:snapToGrid w:val="0"/>
        <w:spacing w:line="440" w:lineRule="exact"/>
        <w:ind w:firstLine="0" w:firstLineChars="0"/>
        <w:jc w:val="left"/>
        <w:rPr>
          <w:rFonts w:asciiTheme="minorEastAsia" w:hAnsiTheme="minorEastAsia" w:eastAsiaTheme="minorEastAsia"/>
          <w:b/>
          <w:szCs w:val="21"/>
        </w:rPr>
      </w:pPr>
      <w:r>
        <w:rPr>
          <w:rFonts w:asciiTheme="minorEastAsia" w:hAnsiTheme="minorEastAsia" w:eastAsiaTheme="minorEastAsia"/>
          <w:b/>
          <w:szCs w:val="21"/>
        </w:rPr>
        <w:t>三、渝农商理财有限责任公司郑重提示：在购买理财产品前，投资者应当仔细阅读理财产品销售文件，确保自己完全明白该项投资的性质和所涉及的风险，详细了解和审慎评估该理财产品的资金投资方向和风险类型等基本情况，在慎重考虑后自行决定购买与自身风险承受能力和资产管理需求匹配的理财产品；</w:t>
      </w:r>
    </w:p>
    <w:p>
      <w:pPr>
        <w:pStyle w:val="47"/>
        <w:tabs>
          <w:tab w:val="left" w:pos="420"/>
        </w:tabs>
        <w:snapToGrid w:val="0"/>
        <w:spacing w:line="440" w:lineRule="exact"/>
        <w:ind w:firstLine="0" w:firstLineChars="0"/>
        <w:jc w:val="left"/>
        <w:rPr>
          <w:rFonts w:asciiTheme="minorEastAsia" w:hAnsiTheme="minorEastAsia" w:eastAsiaTheme="minorEastAsia"/>
          <w:b/>
          <w:szCs w:val="21"/>
        </w:rPr>
      </w:pPr>
      <w:r>
        <w:rPr>
          <w:rFonts w:asciiTheme="minorEastAsia" w:hAnsiTheme="minorEastAsia" w:eastAsiaTheme="minorEastAsia"/>
          <w:b/>
          <w:szCs w:val="21"/>
        </w:rPr>
        <w:t>四、本理财产品不保证一定盈利，也不保证最低收益和本金安全。理财产品过往业绩不代表其未来表现，不等于理财产品实际收益，投资须谨慎。</w:t>
      </w:r>
    </w:p>
    <w:p>
      <w:pPr>
        <w:pStyle w:val="47"/>
        <w:tabs>
          <w:tab w:val="left" w:pos="420"/>
        </w:tabs>
        <w:snapToGrid w:val="0"/>
        <w:spacing w:line="440" w:lineRule="exact"/>
        <w:ind w:firstLine="0" w:firstLineChars="0"/>
        <w:jc w:val="left"/>
        <w:rPr>
          <w:rFonts w:asciiTheme="minorEastAsia" w:hAnsiTheme="minorEastAsia" w:eastAsiaTheme="minorEastAsia"/>
          <w:b/>
          <w:szCs w:val="21"/>
        </w:rPr>
      </w:pPr>
      <w:r>
        <w:rPr>
          <w:rFonts w:asciiTheme="minorEastAsia" w:hAnsiTheme="minorEastAsia" w:eastAsiaTheme="minorEastAsia"/>
          <w:b/>
          <w:szCs w:val="21"/>
        </w:rPr>
        <w:t>五、在购买理财产品后，投资者应随时关注该理财产品的信息披露情况，及时获取相关信息。</w:t>
      </w:r>
    </w:p>
    <w:p>
      <w:pPr>
        <w:pStyle w:val="47"/>
        <w:tabs>
          <w:tab w:val="left" w:pos="420"/>
        </w:tabs>
        <w:snapToGrid w:val="0"/>
        <w:spacing w:line="440" w:lineRule="exact"/>
        <w:ind w:firstLine="0" w:firstLineChars="0"/>
        <w:jc w:val="left"/>
        <w:rPr>
          <w:rFonts w:asciiTheme="minorEastAsia" w:hAnsiTheme="minorEastAsia" w:eastAsiaTheme="minorEastAsia"/>
          <w:b/>
          <w:szCs w:val="21"/>
        </w:rPr>
      </w:pPr>
    </w:p>
    <w:p>
      <w:pPr>
        <w:snapToGrid w:val="0"/>
        <w:spacing w:line="440" w:lineRule="exact"/>
        <w:ind w:firstLine="0" w:firstLineChars="0"/>
        <w:rPr>
          <w:rFonts w:asciiTheme="minorEastAsia" w:hAnsiTheme="minorEastAsia" w:eastAsiaTheme="minorEastAsia"/>
          <w:bCs/>
          <w:sz w:val="21"/>
          <w:szCs w:val="21"/>
        </w:rPr>
      </w:pPr>
      <w:bookmarkStart w:id="4" w:name="_Hlk152860916"/>
      <w:r>
        <w:rPr>
          <w:rFonts w:asciiTheme="minorEastAsia" w:hAnsiTheme="minorEastAsia" w:eastAsiaTheme="minorEastAsia"/>
          <w:bCs/>
          <w:sz w:val="21"/>
          <w:szCs w:val="21"/>
        </w:rPr>
        <w:t>定义：</w:t>
      </w:r>
    </w:p>
    <w:p>
      <w:pPr>
        <w:snapToGrid w:val="0"/>
        <w:spacing w:line="440" w:lineRule="exact"/>
        <w:ind w:firstLine="0" w:firstLineChars="0"/>
        <w:rPr>
          <w:rFonts w:asciiTheme="minorEastAsia" w:hAnsiTheme="minorEastAsia" w:eastAsiaTheme="minorEastAsia"/>
          <w:sz w:val="21"/>
          <w:szCs w:val="21"/>
        </w:rPr>
      </w:pPr>
      <w:bookmarkStart w:id="5" w:name="_Hlk152850442"/>
      <w:r>
        <w:rPr>
          <w:rFonts w:asciiTheme="minorEastAsia" w:hAnsiTheme="minorEastAsia" w:eastAsiaTheme="minorEastAsia"/>
          <w:sz w:val="21"/>
          <w:szCs w:val="21"/>
        </w:rPr>
        <w:t>在本《理财产品说明书》中，除非上下文另有明确约定，下列用词将具有如下含义：</w:t>
      </w:r>
    </w:p>
    <w:p>
      <w:pPr>
        <w:pStyle w:val="30"/>
        <w:numPr>
          <w:ilvl w:val="0"/>
          <w:numId w:val="4"/>
        </w:numPr>
        <w:snapToGrid w:val="0"/>
        <w:spacing w:line="440" w:lineRule="exact"/>
        <w:ind w:firstLineChars="0"/>
        <w:jc w:val="both"/>
        <w:rPr>
          <w:rFonts w:asciiTheme="minorEastAsia" w:hAnsiTheme="minorEastAsia" w:eastAsiaTheme="minorEastAsia"/>
          <w:sz w:val="21"/>
          <w:szCs w:val="21"/>
        </w:rPr>
      </w:pPr>
      <w:r>
        <w:rPr>
          <w:rFonts w:cs="Times New Roman" w:asciiTheme="minorEastAsia" w:hAnsiTheme="minorEastAsia" w:eastAsiaTheme="minorEastAsia"/>
          <w:b/>
          <w:bCs/>
          <w:color w:val="000000"/>
          <w:sz w:val="21"/>
          <w:szCs w:val="21"/>
        </w:rPr>
        <w:t>渝农商理财/产品管理人/管理人：</w:t>
      </w:r>
      <w:r>
        <w:rPr>
          <w:rFonts w:cs="Times New Roman" w:asciiTheme="minorEastAsia" w:hAnsiTheme="minorEastAsia" w:eastAsiaTheme="minorEastAsia"/>
          <w:sz w:val="21"/>
          <w:szCs w:val="21"/>
        </w:rPr>
        <w:t>指渝农商理财有限责任公司，官方网站为（wm.cqrcb.com）。</w:t>
      </w:r>
    </w:p>
    <w:p>
      <w:pPr>
        <w:pStyle w:val="30"/>
        <w:numPr>
          <w:ilvl w:val="0"/>
          <w:numId w:val="4"/>
        </w:numPr>
        <w:snapToGrid w:val="0"/>
        <w:spacing w:line="440" w:lineRule="exact"/>
        <w:ind w:firstLineChars="0"/>
        <w:rPr>
          <w:rFonts w:asciiTheme="minorEastAsia" w:hAnsiTheme="minorEastAsia" w:eastAsiaTheme="minorEastAsia"/>
          <w:sz w:val="21"/>
          <w:szCs w:val="21"/>
        </w:rPr>
      </w:pPr>
      <w:r>
        <w:rPr>
          <w:rFonts w:cs="Times New Roman" w:asciiTheme="minorEastAsia" w:hAnsiTheme="minorEastAsia" w:eastAsiaTheme="minorEastAsia"/>
          <w:b/>
          <w:bCs/>
          <w:sz w:val="21"/>
          <w:szCs w:val="21"/>
        </w:rPr>
        <w:t>理财产品份额：</w:t>
      </w:r>
      <w:r>
        <w:rPr>
          <w:rFonts w:cs="Times New Roman" w:asciiTheme="minorEastAsia" w:hAnsiTheme="minorEastAsia" w:eastAsiaTheme="minorEastAsia"/>
          <w:sz w:val="21"/>
          <w:szCs w:val="21"/>
        </w:rPr>
        <w:t>指投资者持有本理财产品的单位数额。投资者基于其所持有的理财产品单位数额享有理财产品利益、承担理财产品风险。</w:t>
      </w:r>
    </w:p>
    <w:p>
      <w:pPr>
        <w:pStyle w:val="30"/>
        <w:numPr>
          <w:ilvl w:val="0"/>
          <w:numId w:val="4"/>
        </w:numPr>
        <w:snapToGrid w:val="0"/>
        <w:spacing w:line="440" w:lineRule="exact"/>
        <w:ind w:firstLineChars="0"/>
        <w:jc w:val="both"/>
        <w:rPr>
          <w:rFonts w:asciiTheme="minorEastAsia" w:hAnsiTheme="minorEastAsia" w:eastAsiaTheme="minorEastAsia"/>
          <w:sz w:val="21"/>
          <w:szCs w:val="21"/>
        </w:rPr>
      </w:pPr>
      <w:r>
        <w:rPr>
          <w:rFonts w:cs="Times New Roman" w:asciiTheme="minorEastAsia" w:hAnsiTheme="minorEastAsia" w:eastAsiaTheme="minorEastAsia"/>
          <w:b/>
          <w:bCs/>
          <w:sz w:val="21"/>
          <w:szCs w:val="21"/>
        </w:rPr>
        <w:t>认购：</w:t>
      </w:r>
      <w:r>
        <w:rPr>
          <w:rFonts w:cs="Times New Roman" w:asciiTheme="minorEastAsia" w:hAnsiTheme="minorEastAsia" w:eastAsiaTheme="minorEastAsia"/>
          <w:sz w:val="21"/>
          <w:szCs w:val="21"/>
        </w:rPr>
        <w:t>指在理财产品的募集期内申请购买理财产品份额的行为。</w:t>
      </w:r>
    </w:p>
    <w:bookmarkEnd w:id="5"/>
    <w:p>
      <w:pPr>
        <w:pStyle w:val="30"/>
        <w:numPr>
          <w:ilvl w:val="0"/>
          <w:numId w:val="4"/>
        </w:numPr>
        <w:snapToGrid w:val="0"/>
        <w:spacing w:line="440" w:lineRule="exact"/>
        <w:ind w:firstLineChars="0"/>
        <w:jc w:val="both"/>
        <w:rPr>
          <w:rFonts w:asciiTheme="minorEastAsia" w:hAnsiTheme="minorEastAsia" w:eastAsiaTheme="minorEastAsia"/>
          <w:sz w:val="21"/>
          <w:szCs w:val="21"/>
        </w:rPr>
      </w:pPr>
      <w:bookmarkStart w:id="6" w:name="_Hlk152850499"/>
      <w:r>
        <w:rPr>
          <w:rFonts w:cs="Times New Roman" w:asciiTheme="minorEastAsia" w:hAnsiTheme="minorEastAsia" w:eastAsiaTheme="minorEastAsia"/>
          <w:b/>
          <w:bCs/>
          <w:sz w:val="21"/>
          <w:szCs w:val="21"/>
        </w:rPr>
        <w:t>募集期（认购期）：</w:t>
      </w:r>
      <w:r>
        <w:rPr>
          <w:rFonts w:cs="Times New Roman" w:asciiTheme="minorEastAsia" w:hAnsiTheme="minorEastAsia" w:eastAsiaTheme="minorEastAsia"/>
          <w:sz w:val="21"/>
          <w:szCs w:val="21"/>
        </w:rPr>
        <w:t>指理财产品成立前，产品管理人接受理财产品认购的时间。但在该期间内如认购人提交认购申请的认购份额提前达到本《理财产品说明书》所载的产品规模上限的，管理人有权宣布认购期提前结束，停止接受认购申请。管理人可在认购期内公告缩短或延长产品认购期，并进行信息披露，实际认购期以管理人公告为准。</w:t>
      </w:r>
    </w:p>
    <w:p>
      <w:pPr>
        <w:pStyle w:val="30"/>
        <w:numPr>
          <w:ilvl w:val="0"/>
          <w:numId w:val="4"/>
        </w:numPr>
        <w:snapToGrid w:val="0"/>
        <w:spacing w:line="440" w:lineRule="exact"/>
        <w:ind w:firstLineChars="0"/>
        <w:jc w:val="both"/>
        <w:rPr>
          <w:rFonts w:asciiTheme="minorEastAsia" w:hAnsiTheme="minorEastAsia" w:eastAsiaTheme="minorEastAsia"/>
          <w:sz w:val="21"/>
          <w:szCs w:val="21"/>
        </w:rPr>
      </w:pPr>
      <w:r>
        <w:rPr>
          <w:rFonts w:cs="Times New Roman" w:asciiTheme="minorEastAsia" w:hAnsiTheme="minorEastAsia" w:eastAsiaTheme="minorEastAsia"/>
          <w:b/>
          <w:bCs/>
          <w:sz w:val="21"/>
          <w:szCs w:val="21"/>
        </w:rPr>
        <w:t>产品成立日</w:t>
      </w:r>
      <w:r>
        <w:rPr>
          <w:rFonts w:cs="Times New Roman" w:asciiTheme="minorEastAsia" w:hAnsiTheme="minorEastAsia" w:eastAsiaTheme="minorEastAsia"/>
          <w:sz w:val="21"/>
          <w:szCs w:val="21"/>
        </w:rPr>
        <w:t>：指达到本《理财产品说明书》约定的成立条件后，管理人宣布理财产品成立的日期。</w:t>
      </w:r>
    </w:p>
    <w:bookmarkEnd w:id="6"/>
    <w:p>
      <w:pPr>
        <w:pStyle w:val="30"/>
        <w:numPr>
          <w:ilvl w:val="0"/>
          <w:numId w:val="4"/>
        </w:numPr>
        <w:snapToGrid w:val="0"/>
        <w:spacing w:line="440" w:lineRule="exact"/>
        <w:ind w:firstLineChars="0"/>
        <w:jc w:val="both"/>
        <w:rPr>
          <w:rFonts w:asciiTheme="minorEastAsia" w:hAnsiTheme="minorEastAsia" w:eastAsiaTheme="minorEastAsia"/>
          <w:sz w:val="21"/>
          <w:szCs w:val="21"/>
        </w:rPr>
      </w:pPr>
      <w:bookmarkStart w:id="7" w:name="_Hlk152850314"/>
      <w:r>
        <w:rPr>
          <w:rFonts w:cs="Times New Roman" w:asciiTheme="minorEastAsia" w:hAnsiTheme="minorEastAsia" w:eastAsiaTheme="minorEastAsia"/>
          <w:b/>
          <w:bCs/>
          <w:sz w:val="21"/>
          <w:szCs w:val="21"/>
        </w:rPr>
        <w:t>产品到期日/终止日</w:t>
      </w:r>
      <w:r>
        <w:rPr>
          <w:rFonts w:cs="Times New Roman" w:asciiTheme="minorEastAsia" w:hAnsiTheme="minorEastAsia" w:eastAsiaTheme="minorEastAsia"/>
          <w:sz w:val="21"/>
          <w:szCs w:val="21"/>
        </w:rPr>
        <w:t>：指本理财产品实际终止之日，根据实际情况，是指理财产品预计到期日，或产品管理人根据本《理财产品说明书》约定宣布本理财产品早于预计到期日而终止之日或宣布本理财产品运作期间延长后的终止之日（含延长后的到期终止之日，以及产品管理人在延期期限内根据本《理财产品说明书》约定宣布本理财产品终止之日）。</w:t>
      </w:r>
    </w:p>
    <w:bookmarkEnd w:id="7"/>
    <w:p>
      <w:pPr>
        <w:pStyle w:val="30"/>
        <w:numPr>
          <w:ilvl w:val="0"/>
          <w:numId w:val="4"/>
        </w:numPr>
        <w:snapToGrid w:val="0"/>
        <w:spacing w:line="440" w:lineRule="exact"/>
        <w:ind w:firstLineChars="0"/>
        <w:rPr>
          <w:rFonts w:asciiTheme="minorEastAsia" w:hAnsiTheme="minorEastAsia" w:eastAsiaTheme="minorEastAsia"/>
          <w:sz w:val="21"/>
          <w:szCs w:val="21"/>
        </w:rPr>
      </w:pPr>
      <w:r>
        <w:rPr>
          <w:rFonts w:cs="Times New Roman" w:asciiTheme="minorEastAsia" w:hAnsiTheme="minorEastAsia" w:eastAsiaTheme="minorEastAsia"/>
          <w:b/>
          <w:bCs/>
          <w:sz w:val="21"/>
          <w:szCs w:val="21"/>
        </w:rPr>
        <w:t>产品存续期/存续期：</w:t>
      </w:r>
      <w:r>
        <w:rPr>
          <w:rFonts w:cs="Times New Roman" w:asciiTheme="minorEastAsia" w:hAnsiTheme="minorEastAsia" w:eastAsiaTheme="minorEastAsia"/>
          <w:sz w:val="21"/>
          <w:szCs w:val="21"/>
        </w:rPr>
        <w:t>指自理财产品成立日起，至理财产品终止日的期间。</w:t>
      </w:r>
    </w:p>
    <w:p>
      <w:pPr>
        <w:pStyle w:val="30"/>
        <w:numPr>
          <w:ilvl w:val="0"/>
          <w:numId w:val="4"/>
        </w:numPr>
        <w:snapToGrid w:val="0"/>
        <w:spacing w:line="440" w:lineRule="exact"/>
        <w:ind w:firstLineChars="0"/>
        <w:rPr>
          <w:rFonts w:asciiTheme="minorEastAsia" w:hAnsiTheme="minorEastAsia" w:eastAsiaTheme="minorEastAsia"/>
          <w:sz w:val="21"/>
          <w:szCs w:val="21"/>
        </w:rPr>
      </w:pPr>
      <w:r>
        <w:rPr>
          <w:rFonts w:cs="Times New Roman" w:asciiTheme="minorEastAsia" w:hAnsiTheme="minorEastAsia" w:eastAsiaTheme="minorEastAsia"/>
          <w:b/>
          <w:bCs/>
          <w:sz w:val="21"/>
          <w:szCs w:val="21"/>
        </w:rPr>
        <w:t>工作日：</w:t>
      </w:r>
      <w:r>
        <w:rPr>
          <w:rFonts w:cs="Times New Roman" w:asciiTheme="minorEastAsia" w:hAnsiTheme="minorEastAsia" w:eastAsiaTheme="minorEastAsia"/>
          <w:sz w:val="21"/>
          <w:szCs w:val="21"/>
        </w:rPr>
        <w:t>指</w:t>
      </w:r>
      <w:r>
        <w:rPr>
          <w:rFonts w:cs="Times New Roman" w:asciiTheme="minorEastAsia" w:hAnsiTheme="minorEastAsia" w:eastAsiaTheme="minorEastAsia"/>
          <w:bCs/>
          <w:sz w:val="21"/>
          <w:szCs w:val="21"/>
        </w:rPr>
        <w:t>中华人民共和国国家法定工作日</w:t>
      </w:r>
      <w:r>
        <w:rPr>
          <w:rFonts w:cs="Times New Roman" w:asciiTheme="minorEastAsia" w:hAnsiTheme="minorEastAsia" w:eastAsiaTheme="minorEastAsia"/>
          <w:sz w:val="21"/>
          <w:szCs w:val="21"/>
        </w:rPr>
        <w:t>。</w:t>
      </w:r>
    </w:p>
    <w:p>
      <w:pPr>
        <w:pStyle w:val="30"/>
        <w:numPr>
          <w:ilvl w:val="0"/>
          <w:numId w:val="4"/>
        </w:numPr>
        <w:snapToGrid w:val="0"/>
        <w:spacing w:line="440" w:lineRule="exact"/>
        <w:ind w:firstLineChars="0"/>
        <w:rPr>
          <w:rFonts w:asciiTheme="minorEastAsia" w:hAnsiTheme="minorEastAsia" w:eastAsiaTheme="minorEastAsia"/>
          <w:sz w:val="21"/>
          <w:szCs w:val="21"/>
        </w:rPr>
      </w:pPr>
      <w:bookmarkStart w:id="8" w:name="_Hlk152860280"/>
      <w:r>
        <w:rPr>
          <w:rFonts w:cs="Times New Roman" w:asciiTheme="minorEastAsia" w:hAnsiTheme="minorEastAsia" w:eastAsiaTheme="minorEastAsia"/>
          <w:b/>
          <w:bCs/>
          <w:sz w:val="21"/>
          <w:szCs w:val="21"/>
        </w:rPr>
        <w:t>交易日：</w:t>
      </w:r>
      <w:r>
        <w:rPr>
          <w:rFonts w:cs="Times New Roman" w:asciiTheme="minorEastAsia" w:hAnsiTheme="minorEastAsia" w:eastAsiaTheme="minorEastAsia"/>
          <w:sz w:val="21"/>
          <w:szCs w:val="21"/>
        </w:rPr>
        <w:t>指中国大陆证券交易所正常开盘交易日。</w:t>
      </w:r>
      <w:bookmarkEnd w:id="8"/>
    </w:p>
    <w:p>
      <w:pPr>
        <w:pStyle w:val="30"/>
        <w:numPr>
          <w:ilvl w:val="0"/>
          <w:numId w:val="4"/>
        </w:numPr>
        <w:snapToGrid w:val="0"/>
        <w:spacing w:line="440" w:lineRule="exact"/>
        <w:ind w:firstLineChars="0"/>
        <w:rPr>
          <w:rFonts w:asciiTheme="minorEastAsia" w:hAnsiTheme="minorEastAsia" w:eastAsiaTheme="minorEastAsia"/>
          <w:sz w:val="21"/>
          <w:szCs w:val="21"/>
        </w:rPr>
      </w:pPr>
      <w:r>
        <w:rPr>
          <w:rFonts w:cs="Times New Roman" w:asciiTheme="minorEastAsia" w:hAnsiTheme="minorEastAsia" w:eastAsiaTheme="minorEastAsia"/>
          <w:b/>
          <w:bCs/>
          <w:sz w:val="21"/>
          <w:szCs w:val="21"/>
        </w:rPr>
        <w:t>固定收益类/权益类/商品及衍生品类/混合类理财产品：</w:t>
      </w:r>
      <w:r>
        <w:rPr>
          <w:rFonts w:cs="Times New Roman" w:asciiTheme="minorEastAsia" w:hAnsiTheme="minorEastAsia" w:eastAsiaTheme="minorEastAsia"/>
          <w:sz w:val="21"/>
          <w:szCs w:val="21"/>
        </w:rPr>
        <w:t>固定收益类理财产品是指投资于存款、债券等债权类资产的比例不低于80％的理财产品，权益类理财产品是指投资于股票等权益类资产的比例不低于80％的理财产品，商品及金融衍生品类理财产品是指投资于商品及金融衍生品的比例不低于80％的理财产品，混合类理财产品是指投资于债权类资产、权益类资产、商品及金融衍生品类资产且任一资产的投资比例未达到前三类产品标准的理财产品。</w:t>
      </w:r>
    </w:p>
    <w:p>
      <w:pPr>
        <w:pStyle w:val="30"/>
        <w:numPr>
          <w:ilvl w:val="0"/>
          <w:numId w:val="4"/>
        </w:numPr>
        <w:snapToGrid w:val="0"/>
        <w:spacing w:line="440" w:lineRule="exact"/>
        <w:ind w:firstLineChars="0"/>
        <w:rPr>
          <w:rFonts w:asciiTheme="minorEastAsia" w:hAnsiTheme="minorEastAsia" w:eastAsiaTheme="minorEastAsia"/>
          <w:sz w:val="21"/>
          <w:szCs w:val="21"/>
        </w:rPr>
      </w:pPr>
      <w:r>
        <w:rPr>
          <w:rFonts w:asciiTheme="minorEastAsia" w:hAnsiTheme="minorEastAsia" w:eastAsiaTheme="minorEastAsia"/>
          <w:b/>
          <w:bCs/>
          <w:sz w:val="21"/>
          <w:szCs w:val="21"/>
        </w:rPr>
        <w:t>公募理财产品：</w:t>
      </w:r>
      <w:r>
        <w:rPr>
          <w:rFonts w:asciiTheme="minorEastAsia" w:hAnsiTheme="minorEastAsia" w:eastAsiaTheme="minorEastAsia"/>
          <w:sz w:val="21"/>
          <w:szCs w:val="21"/>
        </w:rPr>
        <w:t>指面向不特定社会公众公开发行的理财产品。</w:t>
      </w:r>
      <w:bookmarkStart w:id="9" w:name="_Hlk155863124"/>
      <w:bookmarkStart w:id="10" w:name="_Hlk160108606"/>
    </w:p>
    <w:bookmarkEnd w:id="9"/>
    <w:p>
      <w:pPr>
        <w:pStyle w:val="30"/>
        <w:numPr>
          <w:ilvl w:val="0"/>
          <w:numId w:val="4"/>
        </w:numPr>
        <w:snapToGrid w:val="0"/>
        <w:spacing w:line="440" w:lineRule="exact"/>
        <w:ind w:firstLineChars="0"/>
        <w:rPr>
          <w:rFonts w:asciiTheme="minorEastAsia" w:hAnsiTheme="minorEastAsia" w:eastAsiaTheme="minorEastAsia"/>
          <w:sz w:val="21"/>
          <w:szCs w:val="21"/>
        </w:rPr>
      </w:pPr>
      <w:bookmarkStart w:id="11" w:name="_Hlk155863130"/>
      <w:r>
        <w:rPr>
          <w:rFonts w:asciiTheme="minorEastAsia" w:hAnsiTheme="minorEastAsia" w:eastAsiaTheme="minorEastAsia"/>
          <w:b/>
          <w:bCs/>
          <w:sz w:val="21"/>
          <w:szCs w:val="21"/>
        </w:rPr>
        <w:t>私募理财产品：</w:t>
      </w:r>
      <w:r>
        <w:rPr>
          <w:rFonts w:asciiTheme="minorEastAsia" w:hAnsiTheme="minorEastAsia" w:eastAsiaTheme="minorEastAsia"/>
          <w:sz w:val="21"/>
          <w:szCs w:val="21"/>
        </w:rPr>
        <w:t>指面向合格投资者非公开发行的理财产品。</w:t>
      </w:r>
    </w:p>
    <w:bookmarkEnd w:id="10"/>
    <w:bookmarkEnd w:id="11"/>
    <w:p>
      <w:pPr>
        <w:pStyle w:val="30"/>
        <w:numPr>
          <w:ilvl w:val="0"/>
          <w:numId w:val="4"/>
        </w:numPr>
        <w:snapToGrid w:val="0"/>
        <w:spacing w:line="440" w:lineRule="exact"/>
        <w:ind w:firstLineChars="0"/>
        <w:jc w:val="both"/>
        <w:rPr>
          <w:rFonts w:asciiTheme="minorEastAsia" w:hAnsiTheme="minorEastAsia" w:eastAsiaTheme="minorEastAsia"/>
          <w:sz w:val="21"/>
          <w:szCs w:val="21"/>
        </w:rPr>
      </w:pPr>
      <w:r>
        <w:rPr>
          <w:rFonts w:asciiTheme="minorEastAsia" w:hAnsiTheme="minorEastAsia" w:eastAsiaTheme="minorEastAsia"/>
          <w:b/>
          <w:bCs/>
          <w:sz w:val="21"/>
          <w:szCs w:val="21"/>
        </w:rPr>
        <w:t>业绩比较基准：</w:t>
      </w:r>
      <w:r>
        <w:rPr>
          <w:rFonts w:asciiTheme="minorEastAsia" w:hAnsiTheme="minorEastAsia" w:eastAsiaTheme="minorEastAsia"/>
          <w:sz w:val="21"/>
          <w:szCs w:val="21"/>
        </w:rPr>
        <w:t>指产品管理人基于市场环境、产品性质、投资策略、过往经验等因素对产品设定的投资目标，</w:t>
      </w:r>
      <w:r>
        <w:rPr>
          <w:rFonts w:asciiTheme="minorEastAsia" w:hAnsiTheme="minorEastAsia" w:eastAsiaTheme="minorEastAsia"/>
          <w:b/>
          <w:bCs/>
          <w:sz w:val="21"/>
          <w:szCs w:val="21"/>
        </w:rPr>
        <w:t>业绩比较基准仅作为参考，不具有法律约束力，不是预期收益率，不代表本产品的未来表现和实际收益，不构成对本产品的任何收益承诺</w:t>
      </w:r>
      <w:r>
        <w:rPr>
          <w:rFonts w:asciiTheme="minorEastAsia" w:hAnsiTheme="minorEastAsia" w:eastAsiaTheme="minorEastAsia"/>
          <w:sz w:val="21"/>
          <w:szCs w:val="21"/>
        </w:rPr>
        <w:t>。</w:t>
      </w:r>
    </w:p>
    <w:p>
      <w:pPr>
        <w:pStyle w:val="30"/>
        <w:numPr>
          <w:ilvl w:val="0"/>
          <w:numId w:val="4"/>
        </w:numPr>
        <w:snapToGrid w:val="0"/>
        <w:spacing w:line="440" w:lineRule="exact"/>
        <w:ind w:firstLineChars="0"/>
        <w:jc w:val="both"/>
        <w:rPr>
          <w:rFonts w:asciiTheme="minorEastAsia" w:hAnsiTheme="minorEastAsia" w:eastAsiaTheme="minorEastAsia"/>
          <w:b/>
          <w:bCs/>
          <w:sz w:val="21"/>
          <w:szCs w:val="21"/>
        </w:rPr>
      </w:pPr>
      <w:r>
        <w:rPr>
          <w:rFonts w:asciiTheme="minorEastAsia" w:hAnsiTheme="minorEastAsia" w:eastAsiaTheme="minorEastAsia"/>
          <w:b/>
          <w:bCs/>
          <w:sz w:val="21"/>
          <w:szCs w:val="21"/>
        </w:rPr>
        <w:t>流动性受限资产：</w:t>
      </w:r>
      <w:r>
        <w:rPr>
          <w:rFonts w:asciiTheme="minorEastAsia" w:hAnsiTheme="minorEastAsia" w:eastAsiaTheme="minorEastAsia"/>
          <w:sz w:val="21"/>
          <w:szCs w:val="21"/>
        </w:rPr>
        <w:t>指由于法律法规、监管、合同或操作障碍等原因无法以合理价格予以变现的资产，包括到期日在10个交易日以上的逆回购与银行定期存款（含协议约定有条件提前支取的银行存款）、距可赎回日在10个交易日以上的资产管理产品、停牌股票、流通受限的新股及非公开发行股票、资产支持证券（票据），因发行人债务违约无法进行转让或交易的债券和非金融企业债务融资工具，以及其他流动性受限资产。</w:t>
      </w:r>
    </w:p>
    <w:p>
      <w:pPr>
        <w:pStyle w:val="30"/>
        <w:numPr>
          <w:ilvl w:val="0"/>
          <w:numId w:val="4"/>
        </w:numPr>
        <w:snapToGrid w:val="0"/>
        <w:spacing w:line="440" w:lineRule="exact"/>
        <w:ind w:firstLineChars="0"/>
        <w:rPr>
          <w:rFonts w:asciiTheme="minorEastAsia" w:hAnsiTheme="minorEastAsia" w:eastAsiaTheme="minorEastAsia"/>
          <w:sz w:val="21"/>
          <w:szCs w:val="21"/>
        </w:rPr>
      </w:pPr>
      <w:r>
        <w:rPr>
          <w:rFonts w:cs="Times New Roman" w:asciiTheme="minorEastAsia" w:hAnsiTheme="minorEastAsia" w:eastAsiaTheme="minorEastAsia"/>
          <w:b/>
          <w:bCs/>
          <w:sz w:val="21"/>
          <w:szCs w:val="21"/>
        </w:rPr>
        <w:t>理财产品估值：</w:t>
      </w:r>
      <w:r>
        <w:rPr>
          <w:rFonts w:cs="Times New Roman" w:asciiTheme="minorEastAsia" w:hAnsiTheme="minorEastAsia" w:eastAsiaTheme="minorEastAsia"/>
          <w:sz w:val="21"/>
          <w:szCs w:val="21"/>
        </w:rPr>
        <w:t>指计算评估理财产品资产以确定理财产品单位净值的过程。</w:t>
      </w:r>
    </w:p>
    <w:p>
      <w:pPr>
        <w:pStyle w:val="30"/>
        <w:numPr>
          <w:ilvl w:val="0"/>
          <w:numId w:val="4"/>
        </w:numPr>
        <w:snapToGrid w:val="0"/>
        <w:spacing w:line="440" w:lineRule="exact"/>
        <w:ind w:firstLineChars="0"/>
        <w:rPr>
          <w:rFonts w:asciiTheme="minorEastAsia" w:hAnsiTheme="minorEastAsia" w:eastAsiaTheme="minorEastAsia"/>
          <w:sz w:val="21"/>
          <w:szCs w:val="21"/>
        </w:rPr>
      </w:pPr>
      <w:r>
        <w:rPr>
          <w:rFonts w:cs="Times New Roman" w:asciiTheme="minorEastAsia" w:hAnsiTheme="minorEastAsia" w:eastAsiaTheme="minorEastAsia"/>
          <w:b/>
          <w:bCs/>
          <w:sz w:val="21"/>
          <w:szCs w:val="21"/>
        </w:rPr>
        <w:t>元：</w:t>
      </w:r>
      <w:r>
        <w:rPr>
          <w:rFonts w:cs="Times New Roman" w:asciiTheme="minorEastAsia" w:hAnsiTheme="minorEastAsia" w:eastAsiaTheme="minorEastAsia"/>
          <w:sz w:val="21"/>
          <w:szCs w:val="21"/>
        </w:rPr>
        <w:t>指人民币元。</w:t>
      </w:r>
    </w:p>
    <w:p>
      <w:pPr>
        <w:pStyle w:val="30"/>
        <w:numPr>
          <w:ilvl w:val="0"/>
          <w:numId w:val="4"/>
        </w:numPr>
        <w:snapToGrid w:val="0"/>
        <w:spacing w:line="440" w:lineRule="exact"/>
        <w:ind w:firstLineChars="0"/>
        <w:jc w:val="both"/>
        <w:rPr>
          <w:rFonts w:asciiTheme="minorEastAsia" w:hAnsiTheme="minorEastAsia" w:eastAsiaTheme="minorEastAsia"/>
          <w:b/>
          <w:bCs/>
          <w:sz w:val="21"/>
          <w:szCs w:val="21"/>
        </w:rPr>
      </w:pPr>
      <w:r>
        <w:rPr>
          <w:rFonts w:asciiTheme="minorEastAsia" w:hAnsiTheme="minorEastAsia" w:eastAsiaTheme="minorEastAsia"/>
          <w:b/>
          <w:bCs/>
          <w:sz w:val="21"/>
          <w:szCs w:val="21"/>
        </w:rPr>
        <w:t>不可抗力：指理财产品各方不能预见、不能避免且不能克服的客观情况，该事件妨碍、影响或延误任何一方依理财产品销售文件履行其全部或部分义务。该事件包括但不限于法律法规及监管政策变化、紧急措施的出台，火灾、地震、洪水等自然灾害，战争、军事行动、罢工、流行病等不能预见、不能避免、不能克服的事件等。</w:t>
      </w:r>
    </w:p>
    <w:p>
      <w:pPr>
        <w:pStyle w:val="30"/>
        <w:snapToGrid w:val="0"/>
        <w:spacing w:line="440" w:lineRule="exact"/>
        <w:ind w:firstLine="0" w:firstLineChars="0"/>
        <w:rPr>
          <w:rFonts w:asciiTheme="minorEastAsia" w:hAnsiTheme="minorEastAsia" w:eastAsiaTheme="minorEastAsia"/>
          <w:b/>
          <w:bCs/>
          <w:sz w:val="21"/>
          <w:szCs w:val="21"/>
        </w:rPr>
      </w:pPr>
      <w:bookmarkStart w:id="12" w:name="_Hlk160109267"/>
      <w:r>
        <w:rPr>
          <w:rFonts w:hint="eastAsia" w:cs="Times New Roman" w:asciiTheme="minorEastAsia" w:hAnsiTheme="minorEastAsia" w:eastAsiaTheme="minorEastAsia"/>
          <w:b/>
          <w:bCs/>
          <w:sz w:val="21"/>
          <w:szCs w:val="21"/>
        </w:rPr>
        <w:t>18.</w:t>
      </w:r>
      <w:r>
        <w:rPr>
          <w:rFonts w:cs="Times New Roman" w:asciiTheme="minorEastAsia" w:hAnsiTheme="minorEastAsia" w:eastAsiaTheme="minorEastAsia"/>
          <w:b/>
          <w:bCs/>
          <w:sz w:val="21"/>
          <w:szCs w:val="21"/>
        </w:rPr>
        <w:t>意外事件：包括但不限于系统故障、通讯故障、电力系统故障、金融危机、投资市场或投资品无法正常交易等情况。</w:t>
      </w:r>
      <w:bookmarkEnd w:id="4"/>
      <w:bookmarkEnd w:id="12"/>
    </w:p>
    <w:p>
      <w:pPr>
        <w:pStyle w:val="30"/>
        <w:snapToGrid w:val="0"/>
        <w:spacing w:line="440" w:lineRule="exact"/>
        <w:ind w:firstLine="0" w:firstLineChars="0"/>
        <w:rPr>
          <w:rFonts w:asciiTheme="minorEastAsia" w:hAnsiTheme="minorEastAsia" w:eastAsiaTheme="minorEastAsia"/>
          <w:b/>
          <w:bCs/>
          <w:sz w:val="21"/>
          <w:szCs w:val="21"/>
        </w:rPr>
      </w:pPr>
    </w:p>
    <w:p>
      <w:pPr>
        <w:snapToGrid w:val="0"/>
        <w:spacing w:line="440" w:lineRule="exact"/>
        <w:ind w:firstLine="422"/>
        <w:rPr>
          <w:rFonts w:asciiTheme="minorEastAsia" w:hAnsiTheme="minorEastAsia" w:eastAsiaTheme="minorEastAsia"/>
          <w:b/>
          <w:bCs/>
          <w:sz w:val="21"/>
          <w:szCs w:val="21"/>
        </w:rPr>
      </w:pPr>
      <w:r>
        <w:rPr>
          <w:rFonts w:asciiTheme="minorEastAsia" w:hAnsiTheme="minorEastAsia" w:eastAsiaTheme="minorEastAsia"/>
          <w:b/>
          <w:bCs/>
          <w:sz w:val="21"/>
          <w:szCs w:val="21"/>
        </w:rPr>
        <w:t>一、产品概述</w:t>
      </w:r>
    </w:p>
    <w:tbl>
      <w:tblPr>
        <w:tblStyle w:val="20"/>
        <w:tblW w:w="81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63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1771" w:type="dxa"/>
            <w:vAlign w:val="center"/>
          </w:tcPr>
          <w:p>
            <w:pPr>
              <w:snapToGrid w:val="0"/>
              <w:spacing w:line="440" w:lineRule="exact"/>
              <w:ind w:firstLine="27" w:firstLineChars="13"/>
              <w:jc w:val="center"/>
              <w:rPr>
                <w:rFonts w:asciiTheme="minorEastAsia" w:hAnsiTheme="minorEastAsia" w:eastAsiaTheme="minorEastAsia"/>
                <w:bCs/>
                <w:sz w:val="21"/>
                <w:szCs w:val="21"/>
              </w:rPr>
            </w:pPr>
            <w:r>
              <w:rPr>
                <w:rFonts w:asciiTheme="minorEastAsia" w:hAnsiTheme="minorEastAsia" w:eastAsiaTheme="minorEastAsia"/>
                <w:bCs/>
                <w:sz w:val="21"/>
                <w:szCs w:val="21"/>
              </w:rPr>
              <w:t>产品名称</w:t>
            </w:r>
          </w:p>
        </w:tc>
        <w:tc>
          <w:tcPr>
            <w:tcW w:w="6392" w:type="dxa"/>
          </w:tcPr>
          <w:p>
            <w:pPr>
              <w:snapToGrid w:val="0"/>
              <w:spacing w:line="440" w:lineRule="exact"/>
              <w:ind w:firstLine="0" w:firstLineChars="0"/>
              <w:rPr>
                <w:rFonts w:asciiTheme="minorEastAsia" w:hAnsiTheme="minorEastAsia" w:eastAsiaTheme="minorEastAsia"/>
                <w:bCs/>
                <w:sz w:val="21"/>
                <w:szCs w:val="21"/>
              </w:rPr>
            </w:pPr>
            <w:r>
              <w:rPr>
                <w:rFonts w:asciiTheme="minorEastAsia" w:hAnsiTheme="minorEastAsia" w:eastAsiaTheme="minorEastAsia"/>
                <w:bCs/>
                <w:sz w:val="21"/>
                <w:szCs w:val="21"/>
              </w:rPr>
              <w:t>渝农商理财益进乡村振兴封闭式202</w:t>
            </w:r>
            <w:r>
              <w:rPr>
                <w:rFonts w:hint="eastAsia" w:asciiTheme="minorEastAsia" w:hAnsiTheme="minorEastAsia" w:eastAsiaTheme="minorEastAsia"/>
                <w:bCs/>
                <w:sz w:val="21"/>
                <w:szCs w:val="21"/>
              </w:rPr>
              <w:t>5</w:t>
            </w:r>
            <w:r>
              <w:rPr>
                <w:rFonts w:asciiTheme="minorEastAsia" w:hAnsiTheme="minorEastAsia" w:eastAsiaTheme="minorEastAsia"/>
                <w:bCs/>
                <w:sz w:val="21"/>
                <w:szCs w:val="21"/>
              </w:rPr>
              <w:t>年第</w:t>
            </w:r>
            <w:r>
              <w:rPr>
                <w:rFonts w:hint="eastAsia" w:asciiTheme="minorEastAsia" w:hAnsiTheme="minorEastAsia" w:eastAsiaTheme="minorEastAsia"/>
                <w:bCs/>
                <w:sz w:val="21"/>
                <w:szCs w:val="21"/>
              </w:rPr>
              <w:t>42101</w:t>
            </w:r>
            <w:r>
              <w:rPr>
                <w:rFonts w:asciiTheme="minorEastAsia" w:hAnsiTheme="minorEastAsia" w:eastAsiaTheme="minorEastAsia"/>
                <w:bCs/>
                <w:sz w:val="21"/>
                <w:szCs w:val="21"/>
              </w:rPr>
              <w:t>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1771" w:type="dxa"/>
            <w:vAlign w:val="center"/>
          </w:tcPr>
          <w:p>
            <w:pPr>
              <w:snapToGrid w:val="0"/>
              <w:spacing w:line="440" w:lineRule="exact"/>
              <w:ind w:firstLine="27" w:firstLineChars="13"/>
              <w:jc w:val="center"/>
              <w:rPr>
                <w:rFonts w:asciiTheme="minorEastAsia" w:hAnsiTheme="minorEastAsia" w:eastAsiaTheme="minorEastAsia"/>
                <w:bCs/>
                <w:sz w:val="21"/>
                <w:szCs w:val="21"/>
              </w:rPr>
            </w:pPr>
            <w:r>
              <w:rPr>
                <w:rFonts w:asciiTheme="minorEastAsia" w:hAnsiTheme="minorEastAsia" w:eastAsiaTheme="minorEastAsia"/>
                <w:bCs/>
                <w:sz w:val="21"/>
                <w:szCs w:val="21"/>
              </w:rPr>
              <w:t>产品系列</w:t>
            </w:r>
          </w:p>
        </w:tc>
        <w:tc>
          <w:tcPr>
            <w:tcW w:w="6392" w:type="dxa"/>
          </w:tcPr>
          <w:p>
            <w:pPr>
              <w:snapToGrid w:val="0"/>
              <w:spacing w:line="440" w:lineRule="exact"/>
              <w:ind w:firstLine="27" w:firstLineChars="13"/>
              <w:rPr>
                <w:rFonts w:asciiTheme="minorEastAsia" w:hAnsiTheme="minorEastAsia" w:eastAsiaTheme="minorEastAsia"/>
                <w:bCs/>
                <w:sz w:val="21"/>
                <w:szCs w:val="21"/>
              </w:rPr>
            </w:pPr>
            <w:r>
              <w:rPr>
                <w:rFonts w:asciiTheme="minorEastAsia" w:hAnsiTheme="minorEastAsia" w:eastAsiaTheme="minorEastAsia"/>
                <w:bCs/>
                <w:sz w:val="21"/>
                <w:szCs w:val="21"/>
              </w:rPr>
              <w:t>二十四节气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1771" w:type="dxa"/>
            <w:vAlign w:val="center"/>
          </w:tcPr>
          <w:p>
            <w:pPr>
              <w:snapToGrid w:val="0"/>
              <w:spacing w:line="440" w:lineRule="exact"/>
              <w:ind w:firstLine="27" w:firstLineChars="13"/>
              <w:jc w:val="center"/>
              <w:rPr>
                <w:rFonts w:asciiTheme="minorEastAsia" w:hAnsiTheme="minorEastAsia" w:eastAsiaTheme="minorEastAsia"/>
                <w:bCs/>
                <w:sz w:val="21"/>
                <w:szCs w:val="21"/>
              </w:rPr>
            </w:pPr>
            <w:r>
              <w:rPr>
                <w:rFonts w:asciiTheme="minorEastAsia" w:hAnsiTheme="minorEastAsia" w:eastAsiaTheme="minorEastAsia"/>
                <w:bCs/>
                <w:sz w:val="21"/>
                <w:szCs w:val="21"/>
              </w:rPr>
              <w:t>产品编号</w:t>
            </w:r>
          </w:p>
        </w:tc>
        <w:tc>
          <w:tcPr>
            <w:tcW w:w="6392" w:type="dxa"/>
          </w:tcPr>
          <w:p>
            <w:pPr>
              <w:snapToGrid w:val="0"/>
              <w:spacing w:line="440" w:lineRule="exact"/>
              <w:ind w:firstLine="27" w:firstLineChars="13"/>
              <w:rPr>
                <w:rFonts w:asciiTheme="minorEastAsia" w:hAnsiTheme="minorEastAsia" w:eastAsiaTheme="minorEastAsia"/>
                <w:bCs/>
                <w:sz w:val="21"/>
                <w:szCs w:val="21"/>
              </w:rPr>
            </w:pPr>
            <w:r>
              <w:rPr>
                <w:rFonts w:asciiTheme="minorEastAsia" w:hAnsiTheme="minorEastAsia" w:eastAsiaTheme="minorEastAsia"/>
                <w:bCs/>
                <w:sz w:val="21"/>
                <w:szCs w:val="21"/>
              </w:rPr>
              <w:t>2</w:t>
            </w:r>
            <w:r>
              <w:rPr>
                <w:rFonts w:hint="eastAsia" w:asciiTheme="minorEastAsia" w:hAnsiTheme="minorEastAsia" w:eastAsiaTheme="minorEastAsia"/>
                <w:bCs/>
                <w:sz w:val="21"/>
                <w:szCs w:val="21"/>
              </w:rPr>
              <w:t>5</w:t>
            </w:r>
            <w:r>
              <w:rPr>
                <w:rFonts w:asciiTheme="minorEastAsia" w:hAnsiTheme="minorEastAsia" w:eastAsiaTheme="minorEastAsia"/>
                <w:bCs/>
                <w:sz w:val="21"/>
                <w:szCs w:val="21"/>
              </w:rPr>
              <w:t>GSGF</w:t>
            </w:r>
            <w:r>
              <w:rPr>
                <w:rFonts w:hint="eastAsia" w:asciiTheme="minorEastAsia" w:hAnsiTheme="minorEastAsia" w:eastAsiaTheme="minorEastAsia"/>
                <w:bCs/>
                <w:sz w:val="21"/>
                <w:szCs w:val="21"/>
              </w:rPr>
              <w:t>42101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trPr>
        <w:tc>
          <w:tcPr>
            <w:tcW w:w="1771" w:type="dxa"/>
            <w:vAlign w:val="center"/>
          </w:tcPr>
          <w:p>
            <w:pPr>
              <w:snapToGrid w:val="0"/>
              <w:spacing w:line="440" w:lineRule="exact"/>
              <w:ind w:firstLine="27" w:firstLineChars="13"/>
              <w:jc w:val="center"/>
              <w:rPr>
                <w:rFonts w:asciiTheme="minorEastAsia" w:hAnsiTheme="minorEastAsia" w:eastAsiaTheme="minorEastAsia"/>
                <w:bCs/>
                <w:sz w:val="21"/>
                <w:szCs w:val="21"/>
              </w:rPr>
            </w:pPr>
            <w:r>
              <w:rPr>
                <w:rFonts w:asciiTheme="minorEastAsia" w:hAnsiTheme="minorEastAsia" w:eastAsiaTheme="minorEastAsia"/>
                <w:bCs/>
                <w:sz w:val="21"/>
                <w:szCs w:val="21"/>
              </w:rPr>
              <w:t>理财信息系统登记编码</w:t>
            </w:r>
          </w:p>
        </w:tc>
        <w:tc>
          <w:tcPr>
            <w:tcW w:w="6392" w:type="dxa"/>
          </w:tcPr>
          <w:p>
            <w:pPr>
              <w:snapToGrid w:val="0"/>
              <w:spacing w:line="440" w:lineRule="exact"/>
              <w:ind w:firstLine="27" w:firstLineChars="13"/>
              <w:rPr>
                <w:rFonts w:asciiTheme="minorEastAsia" w:hAnsiTheme="minorEastAsia" w:eastAsiaTheme="minorEastAsia"/>
                <w:bCs/>
                <w:sz w:val="21"/>
                <w:szCs w:val="21"/>
              </w:rPr>
            </w:pPr>
            <w:r>
              <w:rPr>
                <w:rFonts w:asciiTheme="minorEastAsia" w:hAnsiTheme="minorEastAsia" w:eastAsiaTheme="minorEastAsia"/>
                <w:bCs/>
                <w:sz w:val="21"/>
                <w:szCs w:val="21"/>
              </w:rPr>
              <w:t>Z7002724000634。投资者可依据本产品理财信息系统登记编码在“中国理财网（www.chinawealth.com.cn）”上查询产品信息。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9" w:hRule="atLeast"/>
        </w:trPr>
        <w:tc>
          <w:tcPr>
            <w:tcW w:w="1771" w:type="dxa"/>
            <w:vAlign w:val="center"/>
          </w:tcPr>
          <w:p>
            <w:pPr>
              <w:snapToGrid w:val="0"/>
              <w:spacing w:line="440" w:lineRule="exact"/>
              <w:ind w:firstLine="0" w:firstLineChars="0"/>
              <w:jc w:val="center"/>
              <w:rPr>
                <w:rFonts w:asciiTheme="minorEastAsia" w:hAnsiTheme="minorEastAsia" w:eastAsiaTheme="minorEastAsia"/>
                <w:bCs/>
                <w:sz w:val="21"/>
                <w:szCs w:val="21"/>
              </w:rPr>
            </w:pPr>
            <w:r>
              <w:rPr>
                <w:rFonts w:asciiTheme="minorEastAsia" w:hAnsiTheme="minorEastAsia" w:eastAsiaTheme="minorEastAsia"/>
                <w:bCs/>
                <w:sz w:val="21"/>
                <w:szCs w:val="21"/>
              </w:rPr>
              <w:t>产品风险评级</w:t>
            </w:r>
          </w:p>
        </w:tc>
        <w:tc>
          <w:tcPr>
            <w:tcW w:w="6392" w:type="dxa"/>
          </w:tcPr>
          <w:p>
            <w:pPr>
              <w:snapToGrid w:val="0"/>
              <w:spacing w:line="440" w:lineRule="exact"/>
              <w:ind w:firstLine="0" w:firstLineChars="0"/>
              <w:rPr>
                <w:rFonts w:asciiTheme="minorEastAsia" w:hAnsiTheme="minorEastAsia" w:eastAsiaTheme="minorEastAsia"/>
                <w:sz w:val="21"/>
                <w:szCs w:val="21"/>
              </w:rPr>
            </w:pPr>
            <w:r>
              <w:rPr>
                <w:rFonts w:asciiTheme="minorEastAsia" w:hAnsiTheme="minorEastAsia" w:eastAsiaTheme="minorEastAsia"/>
                <w:b/>
                <w:bCs/>
                <w:sz w:val="21"/>
                <w:szCs w:val="21"/>
              </w:rPr>
              <w:t>二级（本产品的风险评级仅是渝农商理财有限责任公司内部测评结果，仅供投资者参考，若本产品通过代理销售机构渠道销售的，理财产品评级应当以代理销售机构最终披露的评级结果为准。）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6" w:hRule="atLeast"/>
        </w:trPr>
        <w:tc>
          <w:tcPr>
            <w:tcW w:w="1771" w:type="dxa"/>
            <w:vAlign w:val="center"/>
          </w:tcPr>
          <w:p>
            <w:pPr>
              <w:snapToGrid w:val="0"/>
              <w:spacing w:line="440" w:lineRule="exact"/>
              <w:ind w:firstLine="0" w:firstLineChars="0"/>
              <w:jc w:val="center"/>
              <w:rPr>
                <w:rFonts w:asciiTheme="minorEastAsia" w:hAnsiTheme="minorEastAsia" w:eastAsiaTheme="minorEastAsia"/>
                <w:bCs/>
                <w:sz w:val="21"/>
                <w:szCs w:val="21"/>
              </w:rPr>
            </w:pPr>
            <w:r>
              <w:rPr>
                <w:rFonts w:asciiTheme="minorEastAsia" w:hAnsiTheme="minorEastAsia" w:eastAsiaTheme="minorEastAsia"/>
                <w:bCs/>
                <w:sz w:val="21"/>
                <w:szCs w:val="21"/>
              </w:rPr>
              <w:t>理财产品份额类别</w:t>
            </w:r>
          </w:p>
        </w:tc>
        <w:tc>
          <w:tcPr>
            <w:tcW w:w="6392" w:type="dxa"/>
          </w:tcPr>
          <w:p>
            <w:pPr>
              <w:snapToGrid w:val="0"/>
              <w:spacing w:line="440" w:lineRule="exact"/>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本产品根据投资者购买理财产品的</w:t>
            </w:r>
            <w:bookmarkStart w:id="13" w:name="_Hlk152317573"/>
            <w:r>
              <w:rPr>
                <w:rFonts w:asciiTheme="minorEastAsia" w:hAnsiTheme="minorEastAsia" w:eastAsiaTheme="minorEastAsia"/>
                <w:sz w:val="21"/>
                <w:szCs w:val="21"/>
              </w:rPr>
              <w:t>销售（代理销售）机构</w:t>
            </w:r>
            <w:bookmarkEnd w:id="13"/>
            <w:r>
              <w:rPr>
                <w:rFonts w:asciiTheme="minorEastAsia" w:hAnsiTheme="minorEastAsia" w:eastAsiaTheme="minorEastAsia"/>
                <w:sz w:val="21"/>
                <w:szCs w:val="21"/>
              </w:rPr>
              <w:t>、适合的投资者、投资者购买理财产品的金额等因素设置不同理财产品份额类别，每类产品份额设置单独的份额名称和份额代码，并分别计算产品份额净值。投资者可根据实际情况自行选择购买的产品份额类别。本产品设置的份额类别如下：</w:t>
            </w:r>
          </w:p>
          <w:p>
            <w:pPr>
              <w:snapToGrid w:val="0"/>
              <w:spacing w:line="440" w:lineRule="exact"/>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A份额：份额代码</w:t>
            </w:r>
            <w:r>
              <w:rPr>
                <w:rFonts w:hint="eastAsia" w:asciiTheme="minorEastAsia" w:hAnsiTheme="minorEastAsia" w:eastAsiaTheme="minorEastAsia"/>
                <w:sz w:val="21"/>
                <w:szCs w:val="21"/>
              </w:rPr>
              <w:t>25GSGF42101</w:t>
            </w:r>
            <w:r>
              <w:rPr>
                <w:rFonts w:asciiTheme="minorEastAsia" w:hAnsiTheme="minorEastAsia" w:eastAsiaTheme="minorEastAsia"/>
                <w:sz w:val="21"/>
                <w:szCs w:val="21"/>
              </w:rPr>
              <w:t>A</w:t>
            </w:r>
          </w:p>
          <w:p>
            <w:pPr>
              <w:snapToGrid w:val="0"/>
              <w:spacing w:line="440" w:lineRule="exact"/>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B份额：份额代码</w:t>
            </w:r>
            <w:r>
              <w:rPr>
                <w:rFonts w:hint="eastAsia" w:asciiTheme="minorEastAsia" w:hAnsiTheme="minorEastAsia" w:eastAsiaTheme="minorEastAsia"/>
                <w:sz w:val="21"/>
                <w:szCs w:val="21"/>
              </w:rPr>
              <w:t>25GSGF42101</w:t>
            </w:r>
            <w:r>
              <w:rPr>
                <w:rFonts w:asciiTheme="minorEastAsia" w:hAnsiTheme="minorEastAsia" w:eastAsiaTheme="minorEastAsia"/>
                <w:sz w:val="21"/>
                <w:szCs w:val="21"/>
              </w:rPr>
              <w:t>B</w:t>
            </w:r>
          </w:p>
          <w:p>
            <w:pPr>
              <w:snapToGrid w:val="0"/>
              <w:spacing w:line="440" w:lineRule="exact"/>
              <w:ind w:firstLine="0" w:firstLineChars="0"/>
              <w:rPr>
                <w:rFonts w:asciiTheme="minorEastAsia" w:hAnsiTheme="minorEastAsia" w:eastAsiaTheme="minorEastAsia"/>
                <w:sz w:val="21"/>
                <w:szCs w:val="21"/>
              </w:rPr>
            </w:pPr>
            <w:r>
              <w:rPr>
                <w:rFonts w:hint="eastAsia" w:asciiTheme="minorEastAsia" w:hAnsiTheme="minorEastAsia" w:eastAsiaTheme="minorEastAsia"/>
                <w:sz w:val="21"/>
                <w:szCs w:val="21"/>
              </w:rPr>
              <w:t>C</w:t>
            </w:r>
            <w:r>
              <w:rPr>
                <w:rFonts w:asciiTheme="minorEastAsia" w:hAnsiTheme="minorEastAsia" w:eastAsiaTheme="minorEastAsia"/>
                <w:sz w:val="21"/>
                <w:szCs w:val="21"/>
              </w:rPr>
              <w:t>份额：份额代码</w:t>
            </w:r>
            <w:r>
              <w:rPr>
                <w:rFonts w:hint="eastAsia" w:asciiTheme="minorEastAsia" w:hAnsiTheme="minorEastAsia" w:eastAsiaTheme="minorEastAsia"/>
                <w:sz w:val="21"/>
                <w:szCs w:val="21"/>
              </w:rPr>
              <w:t>25GSGF42101C</w:t>
            </w:r>
          </w:p>
          <w:p>
            <w:pPr>
              <w:snapToGrid w:val="0"/>
              <w:spacing w:line="440" w:lineRule="exact"/>
              <w:ind w:firstLine="0" w:firstLineChars="0"/>
              <w:rPr>
                <w:rFonts w:asciiTheme="minorEastAsia" w:hAnsiTheme="minorEastAsia" w:eastAsiaTheme="minorEastAsia"/>
                <w:sz w:val="21"/>
                <w:szCs w:val="21"/>
              </w:rPr>
            </w:pPr>
            <w:r>
              <w:rPr>
                <w:rFonts w:hint="eastAsia" w:asciiTheme="minorEastAsia" w:hAnsiTheme="minorEastAsia" w:eastAsiaTheme="minorEastAsia"/>
                <w:sz w:val="21"/>
                <w:szCs w:val="21"/>
              </w:rPr>
              <w:t>D</w:t>
            </w:r>
            <w:r>
              <w:rPr>
                <w:rFonts w:asciiTheme="minorEastAsia" w:hAnsiTheme="minorEastAsia" w:eastAsiaTheme="minorEastAsia"/>
                <w:sz w:val="21"/>
                <w:szCs w:val="21"/>
              </w:rPr>
              <w:t>份额：份额代码</w:t>
            </w:r>
            <w:r>
              <w:rPr>
                <w:rFonts w:hint="eastAsia" w:asciiTheme="minorEastAsia" w:hAnsiTheme="minorEastAsia" w:eastAsiaTheme="minorEastAsia"/>
                <w:sz w:val="21"/>
                <w:szCs w:val="21"/>
              </w:rPr>
              <w:t>25GSGF42101D</w:t>
            </w:r>
          </w:p>
          <w:p>
            <w:pPr>
              <w:snapToGrid w:val="0"/>
              <w:spacing w:line="440" w:lineRule="exact"/>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产品管理人有权根据相关法律和国家政策规定，在本理财产品项下增设新的产品份额类别，或对本产品各份额类别的销售渠道、销售对象等进行调整，届时，产品管理人将依据本理财产品说明书约定进行公告。若投资者有权不接受变更，可通过赎回退出本产品。</w:t>
            </w:r>
            <w:r>
              <w:rPr>
                <w:rFonts w:asciiTheme="minorEastAsia" w:hAnsiTheme="minorEastAsia" w:eastAsiaTheme="minorEastAsia"/>
                <w:b/>
                <w:bCs/>
                <w:sz w:val="21"/>
                <w:szCs w:val="21"/>
              </w:rPr>
              <w:t>投资者未在变更生效前提出赎回申请的，视为同意接受变更后条款</w:t>
            </w:r>
            <w:r>
              <w:rPr>
                <w:rFonts w:asciiTheme="minorEastAsia" w:hAnsiTheme="minorEastAsia" w:eastAsiaTheme="minorEastAsia"/>
                <w:sz w:val="21"/>
                <w:szCs w:val="21"/>
              </w:rPr>
              <w:t>，产品管理人有权按照变更后的约定内容进行操作。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1771" w:type="dxa"/>
            <w:vAlign w:val="center"/>
          </w:tcPr>
          <w:p>
            <w:pPr>
              <w:snapToGrid w:val="0"/>
              <w:spacing w:line="440" w:lineRule="exact"/>
              <w:ind w:firstLine="27" w:firstLineChars="13"/>
              <w:jc w:val="center"/>
              <w:rPr>
                <w:rFonts w:asciiTheme="minorEastAsia" w:hAnsiTheme="minorEastAsia" w:eastAsiaTheme="minorEastAsia"/>
                <w:bCs/>
                <w:sz w:val="21"/>
                <w:szCs w:val="21"/>
              </w:rPr>
            </w:pPr>
            <w:r>
              <w:rPr>
                <w:rFonts w:asciiTheme="minorEastAsia" w:hAnsiTheme="minorEastAsia" w:eastAsiaTheme="minorEastAsia"/>
                <w:bCs/>
                <w:sz w:val="21"/>
                <w:szCs w:val="21"/>
              </w:rPr>
              <w:t>销售对象</w:t>
            </w:r>
          </w:p>
        </w:tc>
        <w:tc>
          <w:tcPr>
            <w:tcW w:w="6392" w:type="dxa"/>
          </w:tcPr>
          <w:p>
            <w:pPr>
              <w:snapToGrid w:val="0"/>
              <w:spacing w:line="440" w:lineRule="exact"/>
              <w:ind w:firstLine="27" w:firstLineChars="13"/>
              <w:rPr>
                <w:rFonts w:asciiTheme="minorEastAsia" w:hAnsiTheme="minorEastAsia" w:eastAsiaTheme="minorEastAsia"/>
                <w:bCs/>
                <w:sz w:val="21"/>
                <w:szCs w:val="21"/>
              </w:rPr>
            </w:pPr>
            <w:r>
              <w:rPr>
                <w:rFonts w:asciiTheme="minorEastAsia" w:hAnsiTheme="minorEastAsia" w:eastAsiaTheme="minorEastAsia"/>
                <w:bCs/>
                <w:sz w:val="21"/>
                <w:szCs w:val="21"/>
              </w:rPr>
              <w:t>不特定社会公众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1" w:hRule="atLeast"/>
        </w:trPr>
        <w:tc>
          <w:tcPr>
            <w:tcW w:w="1771" w:type="dxa"/>
            <w:vAlign w:val="center"/>
          </w:tcPr>
          <w:p>
            <w:pPr>
              <w:snapToGrid w:val="0"/>
              <w:spacing w:line="440" w:lineRule="exact"/>
              <w:ind w:firstLine="27" w:firstLineChars="13"/>
              <w:jc w:val="center"/>
              <w:rPr>
                <w:rFonts w:asciiTheme="minorEastAsia" w:hAnsiTheme="minorEastAsia" w:eastAsiaTheme="minorEastAsia"/>
                <w:bCs/>
                <w:sz w:val="21"/>
                <w:szCs w:val="21"/>
              </w:rPr>
            </w:pPr>
            <w:r>
              <w:rPr>
                <w:rFonts w:asciiTheme="minorEastAsia" w:hAnsiTheme="minorEastAsia" w:eastAsiaTheme="minorEastAsia"/>
                <w:bCs/>
                <w:sz w:val="21"/>
                <w:szCs w:val="21"/>
              </w:rPr>
              <w:t>适合投资者类型</w:t>
            </w:r>
          </w:p>
        </w:tc>
        <w:tc>
          <w:tcPr>
            <w:tcW w:w="6392" w:type="dxa"/>
          </w:tcPr>
          <w:p>
            <w:pPr>
              <w:snapToGrid w:val="0"/>
              <w:spacing w:line="440" w:lineRule="exact"/>
              <w:ind w:firstLine="27" w:firstLineChars="13"/>
              <w:rPr>
                <w:rFonts w:asciiTheme="minorEastAsia" w:hAnsiTheme="minorEastAsia" w:eastAsiaTheme="minorEastAsia"/>
                <w:bCs/>
                <w:sz w:val="21"/>
                <w:szCs w:val="21"/>
              </w:rPr>
            </w:pPr>
            <w:r>
              <w:rPr>
                <w:rFonts w:asciiTheme="minorEastAsia" w:hAnsiTheme="minorEastAsia" w:eastAsiaTheme="minorEastAsia"/>
                <w:bCs/>
                <w:sz w:val="21"/>
                <w:szCs w:val="21"/>
              </w:rPr>
              <w:t>本产品适合稳健型、平衡型、积极型、激进型的个人投资者，机构投资者。</w:t>
            </w:r>
          </w:p>
          <w:p>
            <w:pPr>
              <w:snapToGrid w:val="0"/>
              <w:spacing w:line="440" w:lineRule="exact"/>
              <w:ind w:firstLine="27" w:firstLineChars="13"/>
              <w:rPr>
                <w:rFonts w:asciiTheme="minorEastAsia" w:hAnsiTheme="minorEastAsia" w:eastAsiaTheme="minorEastAsia"/>
                <w:bCs/>
                <w:sz w:val="21"/>
                <w:szCs w:val="21"/>
              </w:rPr>
            </w:pPr>
            <w:r>
              <w:rPr>
                <w:rFonts w:asciiTheme="minorEastAsia" w:hAnsiTheme="minorEastAsia" w:eastAsiaTheme="minorEastAsia"/>
                <w:bCs/>
                <w:sz w:val="21"/>
                <w:szCs w:val="21"/>
              </w:rPr>
              <w:t xml:space="preserve">其中： </w:t>
            </w:r>
          </w:p>
          <w:p>
            <w:pPr>
              <w:snapToGrid w:val="0"/>
              <w:spacing w:line="440" w:lineRule="exact"/>
              <w:ind w:firstLine="27" w:firstLineChars="13"/>
              <w:rPr>
                <w:rFonts w:asciiTheme="minorEastAsia" w:hAnsiTheme="minorEastAsia" w:eastAsiaTheme="minorEastAsia"/>
                <w:bCs/>
                <w:sz w:val="21"/>
                <w:szCs w:val="21"/>
              </w:rPr>
            </w:pPr>
            <w:r>
              <w:rPr>
                <w:rFonts w:asciiTheme="minorEastAsia" w:hAnsiTheme="minorEastAsia" w:eastAsiaTheme="minorEastAsia"/>
                <w:bCs/>
                <w:sz w:val="21"/>
                <w:szCs w:val="21"/>
              </w:rPr>
              <w:t>A份额适合稳健型、平衡型、积极型、激进型的个人投资者，机构投资者；</w:t>
            </w:r>
          </w:p>
          <w:p>
            <w:pPr>
              <w:snapToGrid w:val="0"/>
              <w:spacing w:line="440" w:lineRule="exact"/>
              <w:ind w:firstLine="27" w:firstLineChars="13"/>
              <w:rPr>
                <w:rFonts w:asciiTheme="minorEastAsia" w:hAnsiTheme="minorEastAsia" w:eastAsiaTheme="minorEastAsia"/>
                <w:bCs/>
                <w:sz w:val="21"/>
                <w:szCs w:val="21"/>
              </w:rPr>
            </w:pPr>
            <w:r>
              <w:rPr>
                <w:rFonts w:asciiTheme="minorEastAsia" w:hAnsiTheme="minorEastAsia" w:eastAsiaTheme="minorEastAsia"/>
                <w:bCs/>
                <w:sz w:val="21"/>
                <w:szCs w:val="21"/>
              </w:rPr>
              <w:t>B份额适合稳健型、平衡型、积极型、激进型的个人投资者，机构投资者；</w:t>
            </w:r>
          </w:p>
          <w:p>
            <w:pPr>
              <w:snapToGrid w:val="0"/>
              <w:spacing w:line="440" w:lineRule="exact"/>
              <w:ind w:firstLine="27" w:firstLineChars="13"/>
              <w:rPr>
                <w:rFonts w:asciiTheme="minorEastAsia" w:hAnsiTheme="minorEastAsia" w:eastAsiaTheme="minorEastAsia"/>
                <w:bCs/>
                <w:sz w:val="21"/>
                <w:szCs w:val="21"/>
              </w:rPr>
            </w:pPr>
            <w:r>
              <w:rPr>
                <w:rFonts w:hint="eastAsia" w:asciiTheme="minorEastAsia" w:hAnsiTheme="minorEastAsia" w:eastAsiaTheme="minorEastAsia"/>
                <w:bCs/>
                <w:sz w:val="21"/>
                <w:szCs w:val="21"/>
              </w:rPr>
              <w:t>C</w:t>
            </w:r>
            <w:r>
              <w:rPr>
                <w:rFonts w:asciiTheme="minorEastAsia" w:hAnsiTheme="minorEastAsia" w:eastAsiaTheme="minorEastAsia"/>
                <w:bCs/>
                <w:sz w:val="21"/>
                <w:szCs w:val="21"/>
              </w:rPr>
              <w:t>份额适合稳健型、平衡型、积极型、激进型的个人投资者，机构投资者；</w:t>
            </w:r>
          </w:p>
          <w:p>
            <w:pPr>
              <w:snapToGrid w:val="0"/>
              <w:spacing w:line="440" w:lineRule="exact"/>
              <w:ind w:firstLine="27" w:firstLineChars="13"/>
              <w:rPr>
                <w:rFonts w:asciiTheme="minorEastAsia" w:hAnsiTheme="minorEastAsia" w:eastAsiaTheme="minorEastAsia"/>
                <w:bCs/>
                <w:sz w:val="21"/>
                <w:szCs w:val="21"/>
              </w:rPr>
            </w:pPr>
            <w:r>
              <w:rPr>
                <w:rFonts w:hint="eastAsia" w:asciiTheme="minorEastAsia" w:hAnsiTheme="minorEastAsia" w:eastAsiaTheme="minorEastAsia"/>
                <w:bCs/>
                <w:sz w:val="21"/>
                <w:szCs w:val="21"/>
              </w:rPr>
              <w:t>D</w:t>
            </w:r>
            <w:r>
              <w:rPr>
                <w:rFonts w:asciiTheme="minorEastAsia" w:hAnsiTheme="minorEastAsia" w:eastAsiaTheme="minorEastAsia"/>
                <w:bCs/>
                <w:sz w:val="21"/>
                <w:szCs w:val="21"/>
              </w:rPr>
              <w:t>份额适合稳健型、平衡型、积极型、激进型的个人投资者，机构投资者；</w:t>
            </w:r>
          </w:p>
          <w:p>
            <w:pPr>
              <w:snapToGrid w:val="0"/>
              <w:spacing w:line="440" w:lineRule="exact"/>
              <w:ind w:firstLine="27" w:firstLineChars="13"/>
              <w:rPr>
                <w:rFonts w:asciiTheme="minorEastAsia" w:hAnsiTheme="minorEastAsia" w:eastAsiaTheme="minorEastAsia"/>
                <w:bCs/>
                <w:sz w:val="21"/>
                <w:szCs w:val="21"/>
              </w:rPr>
            </w:pPr>
            <w:r>
              <w:rPr>
                <w:rFonts w:asciiTheme="minorEastAsia" w:hAnsiTheme="minorEastAsia" w:eastAsiaTheme="minorEastAsia"/>
                <w:bCs/>
                <w:sz w:val="21"/>
                <w:szCs w:val="21"/>
              </w:rPr>
              <w:t>本“适合投资者类型”的划分与表述为产品管理人内部设置的标准，仅供参考。若本产品通过代理销售机构渠道销售的，代理销售机构对“适合投资者类型”的划分标准与表述可能与产品管理人存在差异。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1771" w:type="dxa"/>
            <w:vAlign w:val="center"/>
          </w:tcPr>
          <w:p>
            <w:pPr>
              <w:snapToGrid w:val="0"/>
              <w:spacing w:line="440" w:lineRule="exact"/>
              <w:ind w:firstLine="27" w:firstLineChars="13"/>
              <w:jc w:val="center"/>
              <w:rPr>
                <w:rFonts w:asciiTheme="minorEastAsia" w:hAnsiTheme="minorEastAsia" w:eastAsiaTheme="minorEastAsia"/>
                <w:bCs/>
                <w:sz w:val="21"/>
                <w:szCs w:val="21"/>
              </w:rPr>
            </w:pPr>
            <w:r>
              <w:rPr>
                <w:rFonts w:asciiTheme="minorEastAsia" w:hAnsiTheme="minorEastAsia" w:eastAsiaTheme="minorEastAsia"/>
                <w:bCs/>
                <w:sz w:val="21"/>
                <w:szCs w:val="21"/>
              </w:rPr>
              <w:t>销售范围</w:t>
            </w:r>
          </w:p>
        </w:tc>
        <w:tc>
          <w:tcPr>
            <w:tcW w:w="6392" w:type="dxa"/>
          </w:tcPr>
          <w:p>
            <w:pPr>
              <w:snapToGrid w:val="0"/>
              <w:spacing w:line="440" w:lineRule="exact"/>
              <w:ind w:firstLine="27" w:firstLineChars="13"/>
              <w:rPr>
                <w:rFonts w:asciiTheme="minorEastAsia" w:hAnsiTheme="minorEastAsia" w:eastAsiaTheme="minorEastAsia"/>
                <w:bCs/>
                <w:sz w:val="21"/>
                <w:szCs w:val="21"/>
              </w:rPr>
            </w:pPr>
            <w:r>
              <w:rPr>
                <w:rFonts w:asciiTheme="minorEastAsia" w:hAnsiTheme="minorEastAsia" w:eastAsiaTheme="minorEastAsia"/>
                <w:bCs/>
                <w:sz w:val="21"/>
                <w:szCs w:val="21"/>
              </w:rPr>
              <w:t>全国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6" w:hRule="atLeast"/>
        </w:trPr>
        <w:tc>
          <w:tcPr>
            <w:tcW w:w="1771" w:type="dxa"/>
            <w:vAlign w:val="center"/>
          </w:tcPr>
          <w:p>
            <w:pPr>
              <w:snapToGrid w:val="0"/>
              <w:spacing w:line="440" w:lineRule="exact"/>
              <w:ind w:firstLine="27" w:firstLineChars="13"/>
              <w:jc w:val="center"/>
              <w:rPr>
                <w:rFonts w:asciiTheme="minorEastAsia" w:hAnsiTheme="minorEastAsia" w:eastAsiaTheme="minorEastAsia"/>
                <w:bCs/>
                <w:sz w:val="21"/>
                <w:szCs w:val="21"/>
              </w:rPr>
            </w:pPr>
            <w:r>
              <w:rPr>
                <w:rFonts w:asciiTheme="minorEastAsia" w:hAnsiTheme="minorEastAsia" w:eastAsiaTheme="minorEastAsia"/>
                <w:bCs/>
                <w:sz w:val="21"/>
                <w:szCs w:val="21"/>
              </w:rPr>
              <w:t>投资及收益币种</w:t>
            </w:r>
          </w:p>
        </w:tc>
        <w:tc>
          <w:tcPr>
            <w:tcW w:w="6392" w:type="dxa"/>
          </w:tcPr>
          <w:p>
            <w:pPr>
              <w:snapToGrid w:val="0"/>
              <w:spacing w:line="440" w:lineRule="exact"/>
              <w:ind w:firstLine="27" w:firstLineChars="13"/>
              <w:rPr>
                <w:rFonts w:asciiTheme="minorEastAsia" w:hAnsiTheme="minorEastAsia" w:eastAsiaTheme="minorEastAsia"/>
                <w:bCs/>
                <w:sz w:val="21"/>
                <w:szCs w:val="21"/>
              </w:rPr>
            </w:pPr>
            <w:r>
              <w:rPr>
                <w:rFonts w:asciiTheme="minorEastAsia" w:hAnsiTheme="minorEastAsia" w:eastAsiaTheme="minorEastAsia"/>
                <w:bCs/>
                <w:sz w:val="21"/>
                <w:szCs w:val="21"/>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1771" w:type="dxa"/>
            <w:vAlign w:val="center"/>
          </w:tcPr>
          <w:p>
            <w:pPr>
              <w:snapToGrid w:val="0"/>
              <w:spacing w:line="440" w:lineRule="exact"/>
              <w:ind w:firstLine="0" w:firstLineChars="0"/>
              <w:jc w:val="center"/>
              <w:rPr>
                <w:rFonts w:asciiTheme="minorEastAsia" w:hAnsiTheme="minorEastAsia" w:eastAsiaTheme="minorEastAsia"/>
                <w:bCs/>
                <w:sz w:val="21"/>
                <w:szCs w:val="21"/>
              </w:rPr>
            </w:pPr>
            <w:r>
              <w:rPr>
                <w:rFonts w:asciiTheme="minorEastAsia" w:hAnsiTheme="minorEastAsia" w:eastAsiaTheme="minorEastAsia"/>
                <w:bCs/>
                <w:sz w:val="21"/>
                <w:szCs w:val="21"/>
              </w:rPr>
              <w:t>产品类型</w:t>
            </w:r>
          </w:p>
        </w:tc>
        <w:tc>
          <w:tcPr>
            <w:tcW w:w="6392" w:type="dxa"/>
          </w:tcPr>
          <w:p>
            <w:pPr>
              <w:snapToGrid w:val="0"/>
              <w:spacing w:line="440" w:lineRule="exact"/>
              <w:ind w:firstLine="0" w:firstLineChars="0"/>
              <w:rPr>
                <w:rFonts w:asciiTheme="minorEastAsia" w:hAnsiTheme="minorEastAsia" w:eastAsiaTheme="minorEastAsia"/>
                <w:b/>
                <w:bCs/>
                <w:sz w:val="21"/>
                <w:szCs w:val="21"/>
              </w:rPr>
            </w:pPr>
            <w:r>
              <w:rPr>
                <w:rFonts w:asciiTheme="minorEastAsia" w:hAnsiTheme="minorEastAsia" w:eastAsiaTheme="minorEastAsia"/>
                <w:b/>
                <w:bCs/>
                <w:sz w:val="21"/>
                <w:szCs w:val="21"/>
              </w:rPr>
              <w:t>公募、固定收益类、非保本浮动收益型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1771" w:type="dxa"/>
          </w:tcPr>
          <w:p>
            <w:pPr>
              <w:snapToGrid w:val="0"/>
              <w:spacing w:line="440" w:lineRule="exact"/>
              <w:ind w:firstLine="27" w:firstLineChars="13"/>
              <w:jc w:val="center"/>
              <w:rPr>
                <w:rFonts w:asciiTheme="minorEastAsia" w:hAnsiTheme="minorEastAsia" w:eastAsiaTheme="minorEastAsia"/>
                <w:bCs/>
                <w:sz w:val="21"/>
                <w:szCs w:val="21"/>
              </w:rPr>
            </w:pPr>
            <w:r>
              <w:rPr>
                <w:rFonts w:asciiTheme="minorEastAsia" w:hAnsiTheme="minorEastAsia" w:eastAsiaTheme="minorEastAsia"/>
                <w:bCs/>
                <w:sz w:val="21"/>
                <w:szCs w:val="21"/>
              </w:rPr>
              <w:t>产品运作方式</w:t>
            </w:r>
          </w:p>
        </w:tc>
        <w:tc>
          <w:tcPr>
            <w:tcW w:w="6392" w:type="dxa"/>
          </w:tcPr>
          <w:p>
            <w:pPr>
              <w:snapToGrid w:val="0"/>
              <w:spacing w:line="440" w:lineRule="exact"/>
              <w:ind w:firstLine="27" w:firstLineChars="13"/>
              <w:rPr>
                <w:rFonts w:asciiTheme="minorEastAsia" w:hAnsiTheme="minorEastAsia" w:eastAsiaTheme="minorEastAsia"/>
                <w:bCs/>
                <w:sz w:val="21"/>
                <w:szCs w:val="21"/>
              </w:rPr>
            </w:pPr>
            <w:r>
              <w:rPr>
                <w:rFonts w:asciiTheme="minorEastAsia" w:hAnsiTheme="minorEastAsia" w:eastAsiaTheme="minorEastAsia"/>
                <w:bCs/>
                <w:sz w:val="21"/>
                <w:szCs w:val="21"/>
              </w:rPr>
              <w:t>封闭式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1771" w:type="dxa"/>
            <w:vAlign w:val="center"/>
          </w:tcPr>
          <w:p>
            <w:pPr>
              <w:snapToGrid w:val="0"/>
              <w:spacing w:line="440" w:lineRule="exact"/>
              <w:ind w:firstLine="0" w:firstLineChars="0"/>
              <w:jc w:val="center"/>
              <w:rPr>
                <w:rFonts w:asciiTheme="minorEastAsia" w:hAnsiTheme="minorEastAsia" w:eastAsiaTheme="minorEastAsia"/>
                <w:bCs/>
                <w:sz w:val="21"/>
                <w:szCs w:val="21"/>
              </w:rPr>
            </w:pPr>
            <w:r>
              <w:rPr>
                <w:rFonts w:asciiTheme="minorEastAsia" w:hAnsiTheme="minorEastAsia" w:eastAsiaTheme="minorEastAsia"/>
                <w:bCs/>
                <w:sz w:val="21"/>
                <w:szCs w:val="21"/>
              </w:rPr>
              <w:t>产品期限</w:t>
            </w:r>
          </w:p>
        </w:tc>
        <w:tc>
          <w:tcPr>
            <w:tcW w:w="6392" w:type="dxa"/>
          </w:tcPr>
          <w:p>
            <w:pPr>
              <w:snapToGrid w:val="0"/>
              <w:spacing w:line="440" w:lineRule="exact"/>
              <w:ind w:firstLine="0" w:firstLineChars="0"/>
              <w:rPr>
                <w:rFonts w:asciiTheme="minorEastAsia" w:hAnsiTheme="minorEastAsia" w:eastAsiaTheme="minorEastAsia"/>
                <w:bCs/>
                <w:sz w:val="21"/>
                <w:szCs w:val="21"/>
              </w:rPr>
            </w:pPr>
            <w:r>
              <w:rPr>
                <w:rFonts w:hint="eastAsia" w:asciiTheme="minorEastAsia" w:hAnsiTheme="minorEastAsia" w:eastAsiaTheme="minorEastAsia"/>
                <w:b/>
                <w:bCs/>
                <w:sz w:val="21"/>
                <w:szCs w:val="21"/>
              </w:rPr>
              <w:t>293</w:t>
            </w:r>
            <w:r>
              <w:rPr>
                <w:rFonts w:asciiTheme="minorEastAsia" w:hAnsiTheme="minorEastAsia" w:eastAsiaTheme="minorEastAsia"/>
                <w:b/>
                <w:bCs/>
                <w:sz w:val="21"/>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1771" w:type="dxa"/>
            <w:vAlign w:val="center"/>
          </w:tcPr>
          <w:p>
            <w:pPr>
              <w:snapToGrid w:val="0"/>
              <w:spacing w:line="440" w:lineRule="exact"/>
              <w:ind w:firstLine="27" w:firstLineChars="13"/>
              <w:jc w:val="center"/>
              <w:rPr>
                <w:rFonts w:asciiTheme="minorEastAsia" w:hAnsiTheme="minorEastAsia" w:eastAsiaTheme="minorEastAsia"/>
                <w:bCs/>
                <w:sz w:val="21"/>
                <w:szCs w:val="21"/>
              </w:rPr>
            </w:pPr>
            <w:r>
              <w:rPr>
                <w:rFonts w:asciiTheme="minorEastAsia" w:hAnsiTheme="minorEastAsia" w:eastAsiaTheme="minorEastAsia"/>
                <w:bCs/>
                <w:sz w:val="21"/>
                <w:szCs w:val="21"/>
              </w:rPr>
              <w:t>产品规模</w:t>
            </w:r>
          </w:p>
        </w:tc>
        <w:tc>
          <w:tcPr>
            <w:tcW w:w="6392" w:type="dxa"/>
            <w:vAlign w:val="center"/>
          </w:tcPr>
          <w:p>
            <w:pPr>
              <w:snapToGrid w:val="0"/>
              <w:spacing w:line="440" w:lineRule="exact"/>
              <w:ind w:firstLine="27" w:firstLineChars="13"/>
              <w:rPr>
                <w:rFonts w:asciiTheme="minorEastAsia" w:hAnsiTheme="minorEastAsia" w:eastAsiaTheme="minorEastAsia"/>
                <w:bCs/>
                <w:sz w:val="21"/>
                <w:szCs w:val="21"/>
              </w:rPr>
            </w:pPr>
            <w:r>
              <w:rPr>
                <w:rFonts w:asciiTheme="minorEastAsia" w:hAnsiTheme="minorEastAsia" w:eastAsiaTheme="minorEastAsia"/>
                <w:bCs/>
                <w:sz w:val="21"/>
                <w:szCs w:val="21"/>
              </w:rPr>
              <w:t>产品规模上限为150000万元，产品规模下限为500万元（产品管理人有权根据产品实际运作情况调整产品规模）。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43" w:hRule="atLeast"/>
        </w:trPr>
        <w:tc>
          <w:tcPr>
            <w:tcW w:w="1771" w:type="dxa"/>
            <w:vAlign w:val="center"/>
          </w:tcPr>
          <w:p>
            <w:pPr>
              <w:snapToGrid w:val="0"/>
              <w:spacing w:line="440" w:lineRule="exact"/>
              <w:ind w:firstLine="27" w:firstLineChars="13"/>
              <w:jc w:val="center"/>
              <w:rPr>
                <w:rFonts w:asciiTheme="minorEastAsia" w:hAnsiTheme="minorEastAsia" w:eastAsiaTheme="minorEastAsia"/>
                <w:bCs/>
                <w:sz w:val="21"/>
                <w:szCs w:val="21"/>
              </w:rPr>
            </w:pPr>
            <w:r>
              <w:rPr>
                <w:rFonts w:asciiTheme="minorEastAsia" w:hAnsiTheme="minorEastAsia" w:eastAsiaTheme="minorEastAsia"/>
                <w:bCs/>
                <w:sz w:val="21"/>
                <w:szCs w:val="21"/>
              </w:rPr>
              <w:t xml:space="preserve">募集期    </w:t>
            </w:r>
          </w:p>
          <w:p>
            <w:pPr>
              <w:snapToGrid w:val="0"/>
              <w:spacing w:line="440" w:lineRule="exact"/>
              <w:ind w:firstLine="27" w:firstLineChars="13"/>
              <w:jc w:val="center"/>
              <w:rPr>
                <w:rFonts w:asciiTheme="minorEastAsia" w:hAnsiTheme="minorEastAsia" w:eastAsiaTheme="minorEastAsia"/>
                <w:bCs/>
                <w:sz w:val="21"/>
                <w:szCs w:val="21"/>
              </w:rPr>
            </w:pPr>
            <w:r>
              <w:rPr>
                <w:rFonts w:asciiTheme="minorEastAsia" w:hAnsiTheme="minorEastAsia" w:eastAsiaTheme="minorEastAsia"/>
                <w:bCs/>
                <w:sz w:val="21"/>
                <w:szCs w:val="21"/>
              </w:rPr>
              <w:t>（认购期）</w:t>
            </w:r>
          </w:p>
        </w:tc>
        <w:tc>
          <w:tcPr>
            <w:tcW w:w="6392" w:type="dxa"/>
          </w:tcPr>
          <w:p>
            <w:pPr>
              <w:snapToGrid w:val="0"/>
              <w:spacing w:line="440" w:lineRule="exact"/>
              <w:ind w:firstLine="27" w:firstLineChars="13"/>
              <w:rPr>
                <w:rFonts w:asciiTheme="minorEastAsia" w:hAnsiTheme="minorEastAsia" w:eastAsiaTheme="minorEastAsia"/>
                <w:bCs/>
                <w:sz w:val="21"/>
                <w:szCs w:val="21"/>
              </w:rPr>
            </w:pPr>
            <w:r>
              <w:rPr>
                <w:rFonts w:asciiTheme="minorEastAsia" w:hAnsiTheme="minorEastAsia" w:eastAsiaTheme="minorEastAsia"/>
                <w:bCs/>
                <w:sz w:val="21"/>
                <w:szCs w:val="21"/>
              </w:rPr>
              <w:t>202</w:t>
            </w:r>
            <w:r>
              <w:rPr>
                <w:rFonts w:hint="eastAsia" w:asciiTheme="minorEastAsia" w:hAnsiTheme="minorEastAsia" w:eastAsiaTheme="minorEastAsia"/>
                <w:bCs/>
                <w:sz w:val="21"/>
                <w:szCs w:val="21"/>
              </w:rPr>
              <w:t>5</w:t>
            </w:r>
            <w:r>
              <w:rPr>
                <w:rFonts w:asciiTheme="minorEastAsia" w:hAnsiTheme="minorEastAsia" w:eastAsiaTheme="minorEastAsia"/>
                <w:bCs/>
                <w:sz w:val="21"/>
                <w:szCs w:val="21"/>
              </w:rPr>
              <w:t>年</w:t>
            </w:r>
            <w:r>
              <w:rPr>
                <w:rFonts w:hint="eastAsia" w:asciiTheme="minorEastAsia" w:hAnsiTheme="minorEastAsia" w:eastAsiaTheme="minorEastAsia"/>
                <w:bCs/>
                <w:sz w:val="21"/>
                <w:szCs w:val="21"/>
              </w:rPr>
              <w:t>1</w:t>
            </w:r>
            <w:r>
              <w:rPr>
                <w:rFonts w:asciiTheme="minorEastAsia" w:hAnsiTheme="minorEastAsia" w:eastAsiaTheme="minorEastAsia"/>
                <w:bCs/>
                <w:sz w:val="21"/>
                <w:szCs w:val="21"/>
              </w:rPr>
              <w:t>月</w:t>
            </w:r>
            <w:r>
              <w:rPr>
                <w:rFonts w:hint="eastAsia" w:asciiTheme="minorEastAsia" w:hAnsiTheme="minorEastAsia" w:eastAsiaTheme="minorEastAsia"/>
                <w:bCs/>
                <w:sz w:val="21"/>
                <w:szCs w:val="21"/>
              </w:rPr>
              <w:t>21</w:t>
            </w:r>
            <w:r>
              <w:rPr>
                <w:rFonts w:asciiTheme="minorEastAsia" w:hAnsiTheme="minorEastAsia" w:eastAsiaTheme="minorEastAsia"/>
                <w:bCs/>
                <w:sz w:val="21"/>
                <w:szCs w:val="21"/>
              </w:rPr>
              <w:t>日09:00至202</w:t>
            </w:r>
            <w:r>
              <w:rPr>
                <w:rFonts w:hint="eastAsia" w:asciiTheme="minorEastAsia" w:hAnsiTheme="minorEastAsia" w:eastAsiaTheme="minorEastAsia"/>
                <w:bCs/>
                <w:sz w:val="21"/>
                <w:szCs w:val="21"/>
              </w:rPr>
              <w:t>5</w:t>
            </w:r>
            <w:r>
              <w:rPr>
                <w:rFonts w:asciiTheme="minorEastAsia" w:hAnsiTheme="minorEastAsia" w:eastAsiaTheme="minorEastAsia"/>
                <w:bCs/>
                <w:sz w:val="21"/>
                <w:szCs w:val="21"/>
              </w:rPr>
              <w:t>年</w:t>
            </w:r>
            <w:r>
              <w:rPr>
                <w:rFonts w:hint="eastAsia" w:asciiTheme="minorEastAsia" w:hAnsiTheme="minorEastAsia" w:eastAsiaTheme="minorEastAsia"/>
                <w:bCs/>
                <w:sz w:val="21"/>
                <w:szCs w:val="21"/>
              </w:rPr>
              <w:t>2</w:t>
            </w:r>
            <w:r>
              <w:rPr>
                <w:rFonts w:asciiTheme="minorEastAsia" w:hAnsiTheme="minorEastAsia" w:eastAsiaTheme="minorEastAsia"/>
                <w:bCs/>
                <w:sz w:val="21"/>
                <w:szCs w:val="21"/>
              </w:rPr>
              <w:t>月</w:t>
            </w:r>
            <w:r>
              <w:rPr>
                <w:rFonts w:hint="eastAsia" w:asciiTheme="minorEastAsia" w:hAnsiTheme="minorEastAsia" w:eastAsiaTheme="minorEastAsia"/>
                <w:bCs/>
                <w:sz w:val="21"/>
                <w:szCs w:val="21"/>
              </w:rPr>
              <w:t>5</w:t>
            </w:r>
            <w:r>
              <w:rPr>
                <w:rFonts w:asciiTheme="minorEastAsia" w:hAnsiTheme="minorEastAsia" w:eastAsiaTheme="minorEastAsia"/>
                <w:bCs/>
                <w:sz w:val="21"/>
                <w:szCs w:val="21"/>
              </w:rPr>
              <w:t>日16:30</w:t>
            </w:r>
          </w:p>
          <w:p>
            <w:pPr>
              <w:snapToGrid w:val="0"/>
              <w:spacing w:line="440" w:lineRule="exact"/>
              <w:ind w:firstLine="27" w:firstLineChars="13"/>
              <w:rPr>
                <w:rFonts w:asciiTheme="minorEastAsia" w:hAnsiTheme="minorEastAsia" w:eastAsiaTheme="minorEastAsia"/>
                <w:bCs/>
                <w:sz w:val="21"/>
                <w:szCs w:val="21"/>
              </w:rPr>
            </w:pPr>
            <w:r>
              <w:rPr>
                <w:rFonts w:asciiTheme="minorEastAsia" w:hAnsiTheme="minorEastAsia" w:eastAsiaTheme="minorEastAsia"/>
                <w:bCs/>
                <w:sz w:val="21"/>
                <w:szCs w:val="21"/>
              </w:rPr>
              <w:t>若本产品通过代理销售机构销售，代理销售机构实际受理时间可能与理财产品说明书不一致，具体以代理销售机构通知为准。（产品管理人有权根据市场变化情况缩短或延长募集期，并进行信息披露）。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79" w:hRule="atLeast"/>
        </w:trPr>
        <w:tc>
          <w:tcPr>
            <w:tcW w:w="1771" w:type="dxa"/>
            <w:vAlign w:val="center"/>
          </w:tcPr>
          <w:p>
            <w:pPr>
              <w:snapToGrid w:val="0"/>
              <w:spacing w:line="440" w:lineRule="exact"/>
              <w:ind w:firstLine="27" w:firstLineChars="13"/>
              <w:jc w:val="center"/>
              <w:rPr>
                <w:rFonts w:asciiTheme="minorEastAsia" w:hAnsiTheme="minorEastAsia" w:eastAsiaTheme="minorEastAsia"/>
                <w:bCs/>
                <w:sz w:val="21"/>
                <w:szCs w:val="21"/>
              </w:rPr>
            </w:pPr>
            <w:r>
              <w:rPr>
                <w:rFonts w:asciiTheme="minorEastAsia" w:hAnsiTheme="minorEastAsia" w:eastAsiaTheme="minorEastAsia"/>
                <w:bCs/>
                <w:sz w:val="21"/>
                <w:szCs w:val="21"/>
              </w:rPr>
              <w:t>产品成立日</w:t>
            </w:r>
          </w:p>
        </w:tc>
        <w:tc>
          <w:tcPr>
            <w:tcW w:w="6392" w:type="dxa"/>
          </w:tcPr>
          <w:p>
            <w:pPr>
              <w:snapToGrid w:val="0"/>
              <w:spacing w:line="440" w:lineRule="exact"/>
              <w:ind w:firstLine="27" w:firstLineChars="13"/>
              <w:rPr>
                <w:rFonts w:asciiTheme="minorEastAsia" w:hAnsiTheme="minorEastAsia" w:eastAsiaTheme="minorEastAsia"/>
                <w:bCs/>
                <w:sz w:val="21"/>
                <w:szCs w:val="21"/>
              </w:rPr>
            </w:pPr>
            <w:r>
              <w:rPr>
                <w:rFonts w:asciiTheme="minorEastAsia" w:hAnsiTheme="minorEastAsia" w:eastAsiaTheme="minorEastAsia"/>
                <w:bCs/>
                <w:sz w:val="21"/>
                <w:szCs w:val="21"/>
              </w:rPr>
              <w:t>202</w:t>
            </w:r>
            <w:r>
              <w:rPr>
                <w:rFonts w:hint="eastAsia" w:asciiTheme="minorEastAsia" w:hAnsiTheme="minorEastAsia" w:eastAsiaTheme="minorEastAsia"/>
                <w:bCs/>
                <w:sz w:val="21"/>
                <w:szCs w:val="21"/>
              </w:rPr>
              <w:t>5</w:t>
            </w:r>
            <w:r>
              <w:rPr>
                <w:rFonts w:asciiTheme="minorEastAsia" w:hAnsiTheme="minorEastAsia" w:eastAsiaTheme="minorEastAsia"/>
                <w:bCs/>
                <w:sz w:val="21"/>
                <w:szCs w:val="21"/>
              </w:rPr>
              <w:t>年</w:t>
            </w:r>
            <w:r>
              <w:rPr>
                <w:rFonts w:hint="eastAsia" w:asciiTheme="minorEastAsia" w:hAnsiTheme="minorEastAsia" w:eastAsiaTheme="minorEastAsia"/>
                <w:bCs/>
                <w:sz w:val="21"/>
                <w:szCs w:val="21"/>
              </w:rPr>
              <w:t>2</w:t>
            </w:r>
            <w:r>
              <w:rPr>
                <w:rFonts w:asciiTheme="minorEastAsia" w:hAnsiTheme="minorEastAsia" w:eastAsiaTheme="minorEastAsia"/>
                <w:bCs/>
                <w:sz w:val="21"/>
                <w:szCs w:val="21"/>
              </w:rPr>
              <w:t>月</w:t>
            </w:r>
            <w:r>
              <w:rPr>
                <w:rFonts w:hint="eastAsia" w:asciiTheme="minorEastAsia" w:hAnsiTheme="minorEastAsia" w:eastAsiaTheme="minorEastAsia"/>
                <w:bCs/>
                <w:sz w:val="21"/>
                <w:szCs w:val="21"/>
              </w:rPr>
              <w:t>6</w:t>
            </w:r>
            <w:r>
              <w:rPr>
                <w:rFonts w:asciiTheme="minorEastAsia" w:hAnsiTheme="minorEastAsia" w:eastAsiaTheme="minorEastAsia"/>
                <w:bCs/>
                <w:sz w:val="21"/>
                <w:szCs w:val="21"/>
              </w:rPr>
              <w:t>日（如遇非工作日顺延至下一个工作日）。</w:t>
            </w:r>
          </w:p>
          <w:p>
            <w:pPr>
              <w:snapToGrid w:val="0"/>
              <w:spacing w:line="440" w:lineRule="exact"/>
              <w:ind w:firstLine="27" w:firstLineChars="13"/>
              <w:rPr>
                <w:rFonts w:asciiTheme="minorEastAsia" w:hAnsiTheme="minorEastAsia" w:eastAsiaTheme="minorEastAsia"/>
                <w:bCs/>
                <w:sz w:val="21"/>
                <w:szCs w:val="21"/>
              </w:rPr>
            </w:pPr>
            <w:r>
              <w:rPr>
                <w:rFonts w:asciiTheme="minorEastAsia" w:hAnsiTheme="minorEastAsia" w:eastAsiaTheme="minorEastAsia"/>
                <w:bCs/>
                <w:sz w:val="21"/>
                <w:szCs w:val="21"/>
              </w:rPr>
              <w:t>若产品募集期缩短或延长，产品成立日以公告为准。</w:t>
            </w:r>
          </w:p>
          <w:p>
            <w:pPr>
              <w:snapToGrid w:val="0"/>
              <w:spacing w:line="440" w:lineRule="exact"/>
              <w:ind w:firstLine="27" w:firstLineChars="13"/>
              <w:rPr>
                <w:rFonts w:asciiTheme="minorEastAsia" w:hAnsiTheme="minorEastAsia" w:eastAsiaTheme="minorEastAsia"/>
                <w:bCs/>
                <w:sz w:val="21"/>
                <w:szCs w:val="21"/>
              </w:rPr>
            </w:pPr>
            <w:r>
              <w:rPr>
                <w:rFonts w:asciiTheme="minorEastAsia" w:hAnsiTheme="minorEastAsia" w:eastAsiaTheme="minorEastAsia"/>
                <w:bCs/>
                <w:sz w:val="21"/>
                <w:szCs w:val="21"/>
              </w:rPr>
              <w:t>若在认购期届满之日未达到产品规模下限，渝农商理财有限责任公司有权宣布本产品不能成立，认购资金将在认购期结束后2个工作日内返还至投资者账户</w:t>
            </w:r>
            <w:r>
              <w:rPr>
                <w:bCs/>
              </w:rPr>
              <w:t>，若本产品通过代理销售机构渠道销售的，具体到账时间以投资者与代理销售机构的约定为准。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1771" w:type="dxa"/>
            <w:vAlign w:val="center"/>
          </w:tcPr>
          <w:p>
            <w:pPr>
              <w:snapToGrid w:val="0"/>
              <w:spacing w:line="440" w:lineRule="exact"/>
              <w:ind w:firstLine="27" w:firstLineChars="13"/>
              <w:jc w:val="center"/>
              <w:rPr>
                <w:rFonts w:asciiTheme="minorEastAsia" w:hAnsiTheme="minorEastAsia" w:eastAsiaTheme="minorEastAsia"/>
                <w:bCs/>
                <w:sz w:val="21"/>
                <w:szCs w:val="21"/>
              </w:rPr>
            </w:pPr>
            <w:r>
              <w:rPr>
                <w:rFonts w:asciiTheme="minorEastAsia" w:hAnsiTheme="minorEastAsia" w:eastAsiaTheme="minorEastAsia"/>
                <w:bCs/>
                <w:sz w:val="21"/>
                <w:szCs w:val="21"/>
              </w:rPr>
              <w:t>产品到期日</w:t>
            </w:r>
          </w:p>
        </w:tc>
        <w:tc>
          <w:tcPr>
            <w:tcW w:w="6392" w:type="dxa"/>
          </w:tcPr>
          <w:p>
            <w:pPr>
              <w:snapToGrid w:val="0"/>
              <w:spacing w:line="440" w:lineRule="exact"/>
              <w:ind w:firstLine="27" w:firstLineChars="13"/>
              <w:rPr>
                <w:rFonts w:asciiTheme="minorEastAsia" w:hAnsiTheme="minorEastAsia" w:eastAsiaTheme="minorEastAsia"/>
                <w:bCs/>
                <w:sz w:val="21"/>
                <w:szCs w:val="21"/>
              </w:rPr>
            </w:pPr>
            <w:r>
              <w:rPr>
                <w:rFonts w:asciiTheme="minorEastAsia" w:hAnsiTheme="minorEastAsia" w:eastAsiaTheme="minorEastAsia"/>
                <w:bCs/>
                <w:sz w:val="21"/>
                <w:szCs w:val="21"/>
              </w:rPr>
              <w:t>2025年</w:t>
            </w:r>
            <w:r>
              <w:rPr>
                <w:rFonts w:hint="eastAsia" w:asciiTheme="minorEastAsia" w:hAnsiTheme="minorEastAsia" w:eastAsiaTheme="minorEastAsia"/>
                <w:bCs/>
                <w:sz w:val="21"/>
                <w:szCs w:val="21"/>
              </w:rPr>
              <w:t>11</w:t>
            </w:r>
            <w:r>
              <w:rPr>
                <w:rFonts w:asciiTheme="minorEastAsia" w:hAnsiTheme="minorEastAsia" w:eastAsiaTheme="minorEastAsia"/>
                <w:bCs/>
                <w:sz w:val="21"/>
                <w:szCs w:val="21"/>
              </w:rPr>
              <w:t>月</w:t>
            </w:r>
            <w:r>
              <w:rPr>
                <w:rFonts w:hint="eastAsia" w:asciiTheme="minorEastAsia" w:hAnsiTheme="minorEastAsia" w:eastAsiaTheme="minorEastAsia"/>
                <w:bCs/>
                <w:sz w:val="21"/>
                <w:szCs w:val="21"/>
              </w:rPr>
              <w:t>26</w:t>
            </w:r>
            <w:r>
              <w:rPr>
                <w:rFonts w:asciiTheme="minorEastAsia" w:hAnsiTheme="minorEastAsia" w:eastAsiaTheme="minorEastAsia"/>
                <w:bCs/>
                <w:sz w:val="21"/>
                <w:szCs w:val="21"/>
              </w:rPr>
              <w:t>日（如遇非工作日顺延至下一个工作日）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1771" w:type="dxa"/>
            <w:vAlign w:val="center"/>
          </w:tcPr>
          <w:p>
            <w:pPr>
              <w:snapToGrid w:val="0"/>
              <w:spacing w:line="440" w:lineRule="exact"/>
              <w:ind w:firstLine="27" w:firstLineChars="13"/>
              <w:jc w:val="center"/>
              <w:rPr>
                <w:rFonts w:asciiTheme="minorEastAsia" w:hAnsiTheme="minorEastAsia" w:eastAsiaTheme="minorEastAsia"/>
                <w:bCs/>
                <w:sz w:val="21"/>
                <w:szCs w:val="21"/>
              </w:rPr>
            </w:pPr>
            <w:r>
              <w:rPr>
                <w:rFonts w:asciiTheme="minorEastAsia" w:hAnsiTheme="minorEastAsia" w:eastAsiaTheme="minorEastAsia"/>
                <w:bCs/>
                <w:sz w:val="21"/>
                <w:szCs w:val="21"/>
              </w:rPr>
              <w:t>资金到账日</w:t>
            </w:r>
          </w:p>
        </w:tc>
        <w:tc>
          <w:tcPr>
            <w:tcW w:w="6392" w:type="dxa"/>
          </w:tcPr>
          <w:p>
            <w:pPr>
              <w:snapToGrid w:val="0"/>
              <w:spacing w:line="440" w:lineRule="exact"/>
              <w:ind w:firstLine="27" w:firstLineChars="13"/>
              <w:rPr>
                <w:rFonts w:asciiTheme="minorEastAsia" w:hAnsiTheme="minorEastAsia" w:eastAsiaTheme="minorEastAsia"/>
                <w:bCs/>
                <w:sz w:val="21"/>
                <w:szCs w:val="21"/>
              </w:rPr>
            </w:pPr>
            <w:r>
              <w:rPr>
                <w:rFonts w:asciiTheme="minorEastAsia" w:hAnsiTheme="minorEastAsia" w:eastAsiaTheme="minorEastAsia"/>
                <w:bCs/>
                <w:sz w:val="21"/>
                <w:szCs w:val="21"/>
              </w:rPr>
              <w:t>产品到期日或提前终止日后2个工作日内</w:t>
            </w:r>
            <w:r>
              <w:rPr>
                <w:bCs/>
              </w:rPr>
              <w:t>，若本产品通过代理销售机构渠道销售的，具体到账时间以投资者与代理销售机构的约定为准。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53" w:hRule="atLeast"/>
        </w:trPr>
        <w:tc>
          <w:tcPr>
            <w:tcW w:w="1771" w:type="dxa"/>
            <w:vAlign w:val="center"/>
          </w:tcPr>
          <w:p>
            <w:pPr>
              <w:snapToGrid w:val="0"/>
              <w:spacing w:line="440" w:lineRule="exact"/>
              <w:ind w:firstLine="0" w:firstLineChars="0"/>
              <w:jc w:val="center"/>
              <w:rPr>
                <w:rFonts w:asciiTheme="minorEastAsia" w:hAnsiTheme="minorEastAsia" w:eastAsiaTheme="minorEastAsia"/>
                <w:bCs/>
                <w:sz w:val="21"/>
                <w:szCs w:val="21"/>
              </w:rPr>
            </w:pPr>
            <w:r>
              <w:rPr>
                <w:rFonts w:asciiTheme="minorEastAsia" w:hAnsiTheme="minorEastAsia" w:eastAsiaTheme="minorEastAsia"/>
                <w:bCs/>
                <w:sz w:val="21"/>
                <w:szCs w:val="21"/>
              </w:rPr>
              <w:t>认购</w:t>
            </w:r>
          </w:p>
        </w:tc>
        <w:tc>
          <w:tcPr>
            <w:tcW w:w="6392" w:type="dxa"/>
          </w:tcPr>
          <w:p>
            <w:pPr>
              <w:snapToGrid w:val="0"/>
              <w:spacing w:line="440" w:lineRule="exact"/>
              <w:ind w:right="-122" w:rightChars="-51" w:firstLine="0" w:firstLineChars="0"/>
              <w:rPr>
                <w:rFonts w:asciiTheme="minorEastAsia" w:hAnsiTheme="minorEastAsia" w:eastAsiaTheme="minorEastAsia"/>
                <w:bCs/>
                <w:sz w:val="21"/>
                <w:szCs w:val="21"/>
              </w:rPr>
            </w:pPr>
            <w:r>
              <w:rPr>
                <w:rFonts w:asciiTheme="minorEastAsia" w:hAnsiTheme="minorEastAsia" w:eastAsiaTheme="minorEastAsia"/>
                <w:bCs/>
                <w:sz w:val="21"/>
                <w:szCs w:val="21"/>
              </w:rPr>
              <w:t>认购资金将于认购申请当日实时冻结或通过相关支付渠道（如有）划转，具体以销售（代理销售）机构实际处理为准。</w:t>
            </w:r>
          </w:p>
          <w:p>
            <w:pPr>
              <w:snapToGrid w:val="0"/>
              <w:spacing w:line="440" w:lineRule="exact"/>
              <w:ind w:right="-122" w:rightChars="-51" w:firstLine="0" w:firstLineChars="0"/>
              <w:rPr>
                <w:rFonts w:asciiTheme="minorEastAsia" w:hAnsiTheme="minorEastAsia" w:eastAsiaTheme="minorEastAsia"/>
                <w:bCs/>
                <w:sz w:val="21"/>
                <w:szCs w:val="21"/>
              </w:rPr>
            </w:pPr>
            <w:r>
              <w:rPr>
                <w:rFonts w:asciiTheme="minorEastAsia" w:hAnsiTheme="minorEastAsia" w:eastAsiaTheme="minorEastAsia"/>
                <w:bCs/>
                <w:sz w:val="21"/>
                <w:szCs w:val="21"/>
              </w:rPr>
              <w:t>认购交易将于产品成立日进行确认，并按照产品初始单位净值折算认购份额。</w:t>
            </w:r>
          </w:p>
          <w:p>
            <w:pPr>
              <w:snapToGrid w:val="0"/>
              <w:spacing w:line="440" w:lineRule="exact"/>
              <w:ind w:right="-122" w:rightChars="-51" w:firstLine="0" w:firstLineChars="0"/>
              <w:rPr>
                <w:rFonts w:asciiTheme="minorEastAsia" w:hAnsiTheme="minorEastAsia" w:eastAsiaTheme="minorEastAsia"/>
                <w:bCs/>
                <w:sz w:val="21"/>
                <w:szCs w:val="21"/>
              </w:rPr>
            </w:pPr>
            <w:r>
              <w:rPr>
                <w:rFonts w:asciiTheme="minorEastAsia" w:hAnsiTheme="minorEastAsia" w:eastAsiaTheme="minorEastAsia"/>
                <w:b/>
                <w:sz w:val="21"/>
                <w:szCs w:val="21"/>
              </w:rPr>
              <w:t>如新增认购使得单一投资者持有份额比例超过50％，产品管理人将不再接受该投资者超出部分的认购申请。</w:t>
            </w:r>
            <w:r>
              <w:rPr>
                <w:rFonts w:asciiTheme="minorEastAsia" w:hAnsiTheme="minorEastAsia" w:eastAsiaTheme="minorEastAsia"/>
                <w:bCs/>
                <w:sz w:val="21"/>
                <w:szCs w:val="21"/>
              </w:rPr>
              <w:t>非因产品管理人主观因素导致突破前款规定比例限制的，在单一投资者持有比例降至50％以下之前，产品管理人将不再接受该投资者对该理财产品的认购申请。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31" w:hRule="atLeast"/>
        </w:trPr>
        <w:tc>
          <w:tcPr>
            <w:tcW w:w="1771" w:type="dxa"/>
            <w:vAlign w:val="center"/>
          </w:tcPr>
          <w:p>
            <w:pPr>
              <w:snapToGrid w:val="0"/>
              <w:spacing w:line="440" w:lineRule="exact"/>
              <w:ind w:firstLine="420"/>
              <w:jc w:val="center"/>
              <w:rPr>
                <w:rFonts w:asciiTheme="minorEastAsia" w:hAnsiTheme="minorEastAsia" w:eastAsiaTheme="minorEastAsia"/>
                <w:bCs/>
                <w:sz w:val="21"/>
                <w:szCs w:val="21"/>
              </w:rPr>
            </w:pPr>
            <w:r>
              <w:rPr>
                <w:rFonts w:asciiTheme="minorEastAsia" w:hAnsiTheme="minorEastAsia" w:eastAsiaTheme="minorEastAsia"/>
                <w:bCs/>
                <w:sz w:val="21"/>
                <w:szCs w:val="21"/>
              </w:rPr>
              <w:t>业绩比较基准</w:t>
            </w:r>
          </w:p>
        </w:tc>
        <w:tc>
          <w:tcPr>
            <w:tcW w:w="6392" w:type="dxa"/>
          </w:tcPr>
          <w:p>
            <w:pPr>
              <w:snapToGrid w:val="0"/>
              <w:spacing w:line="440" w:lineRule="exact"/>
              <w:ind w:firstLine="0" w:firstLineChars="0"/>
              <w:rPr>
                <w:rFonts w:asciiTheme="minorEastAsia" w:hAnsiTheme="minorEastAsia" w:eastAsiaTheme="minorEastAsia"/>
                <w:bCs/>
                <w:sz w:val="21"/>
                <w:szCs w:val="21"/>
              </w:rPr>
            </w:pPr>
            <w:r>
              <w:rPr>
                <w:rFonts w:asciiTheme="minorEastAsia" w:hAnsiTheme="minorEastAsia" w:eastAsiaTheme="minorEastAsia"/>
                <w:bCs/>
                <w:sz w:val="21"/>
                <w:szCs w:val="21"/>
              </w:rPr>
              <w:t>A份额业绩比较基准为2.</w:t>
            </w:r>
            <w:r>
              <w:rPr>
                <w:rFonts w:hint="eastAsia" w:asciiTheme="minorEastAsia" w:hAnsiTheme="minorEastAsia" w:eastAsiaTheme="minorEastAsia"/>
                <w:bCs/>
                <w:sz w:val="21"/>
                <w:szCs w:val="21"/>
              </w:rPr>
              <w:t>55</w:t>
            </w:r>
            <w:r>
              <w:rPr>
                <w:rFonts w:asciiTheme="minorEastAsia" w:hAnsiTheme="minorEastAsia" w:eastAsiaTheme="minorEastAsia"/>
                <w:bCs/>
                <w:sz w:val="21"/>
                <w:szCs w:val="21"/>
              </w:rPr>
              <w:t>%；</w:t>
            </w:r>
          </w:p>
          <w:p>
            <w:pPr>
              <w:snapToGrid w:val="0"/>
              <w:spacing w:line="440" w:lineRule="exact"/>
              <w:ind w:firstLine="0" w:firstLineChars="0"/>
              <w:rPr>
                <w:rFonts w:asciiTheme="minorEastAsia" w:hAnsiTheme="minorEastAsia" w:eastAsiaTheme="minorEastAsia"/>
                <w:bCs/>
                <w:sz w:val="21"/>
                <w:szCs w:val="21"/>
              </w:rPr>
            </w:pPr>
            <w:r>
              <w:rPr>
                <w:rFonts w:asciiTheme="minorEastAsia" w:hAnsiTheme="minorEastAsia" w:eastAsiaTheme="minorEastAsia"/>
                <w:bCs/>
                <w:sz w:val="21"/>
                <w:szCs w:val="21"/>
              </w:rPr>
              <w:t>B份额业绩比较基准为2.</w:t>
            </w:r>
            <w:r>
              <w:rPr>
                <w:rFonts w:hint="eastAsia" w:asciiTheme="minorEastAsia" w:hAnsiTheme="minorEastAsia" w:eastAsiaTheme="minorEastAsia"/>
                <w:bCs/>
                <w:sz w:val="21"/>
                <w:szCs w:val="21"/>
              </w:rPr>
              <w:t>40</w:t>
            </w:r>
            <w:r>
              <w:rPr>
                <w:rFonts w:asciiTheme="minorEastAsia" w:hAnsiTheme="minorEastAsia" w:eastAsiaTheme="minorEastAsia"/>
                <w:bCs/>
                <w:sz w:val="21"/>
                <w:szCs w:val="21"/>
              </w:rPr>
              <w:t>%；</w:t>
            </w:r>
          </w:p>
          <w:p>
            <w:pPr>
              <w:snapToGrid w:val="0"/>
              <w:spacing w:line="440" w:lineRule="exact"/>
              <w:ind w:firstLine="0" w:firstLineChars="0"/>
              <w:rPr>
                <w:rFonts w:asciiTheme="minorEastAsia" w:hAnsiTheme="minorEastAsia" w:eastAsiaTheme="minorEastAsia"/>
                <w:bCs/>
                <w:sz w:val="21"/>
                <w:szCs w:val="21"/>
              </w:rPr>
            </w:pPr>
            <w:r>
              <w:rPr>
                <w:rFonts w:hint="eastAsia" w:asciiTheme="minorEastAsia" w:hAnsiTheme="minorEastAsia" w:eastAsiaTheme="minorEastAsia"/>
                <w:bCs/>
                <w:sz w:val="21"/>
                <w:szCs w:val="21"/>
              </w:rPr>
              <w:t>C</w:t>
            </w:r>
            <w:r>
              <w:rPr>
                <w:rFonts w:asciiTheme="minorEastAsia" w:hAnsiTheme="minorEastAsia" w:eastAsiaTheme="minorEastAsia"/>
                <w:bCs/>
                <w:sz w:val="21"/>
                <w:szCs w:val="21"/>
              </w:rPr>
              <w:t>份额业绩比较基准为2.</w:t>
            </w:r>
            <w:r>
              <w:rPr>
                <w:rFonts w:hint="eastAsia" w:asciiTheme="minorEastAsia" w:hAnsiTheme="minorEastAsia" w:eastAsiaTheme="minorEastAsia"/>
                <w:bCs/>
                <w:sz w:val="21"/>
                <w:szCs w:val="21"/>
              </w:rPr>
              <w:t>60</w:t>
            </w:r>
            <w:r>
              <w:rPr>
                <w:rFonts w:asciiTheme="minorEastAsia" w:hAnsiTheme="minorEastAsia" w:eastAsiaTheme="minorEastAsia"/>
                <w:bCs/>
                <w:sz w:val="21"/>
                <w:szCs w:val="21"/>
              </w:rPr>
              <w:t>%；</w:t>
            </w:r>
          </w:p>
          <w:p>
            <w:pPr>
              <w:snapToGrid w:val="0"/>
              <w:spacing w:line="440" w:lineRule="exact"/>
              <w:ind w:firstLine="0" w:firstLineChars="0"/>
              <w:rPr>
                <w:rFonts w:asciiTheme="minorEastAsia" w:hAnsiTheme="minorEastAsia" w:eastAsiaTheme="minorEastAsia"/>
                <w:bCs/>
                <w:sz w:val="21"/>
                <w:szCs w:val="21"/>
              </w:rPr>
            </w:pPr>
            <w:r>
              <w:rPr>
                <w:rFonts w:hint="eastAsia" w:asciiTheme="minorEastAsia" w:hAnsiTheme="minorEastAsia" w:eastAsiaTheme="minorEastAsia"/>
                <w:bCs/>
                <w:sz w:val="21"/>
                <w:szCs w:val="21"/>
              </w:rPr>
              <w:t>D</w:t>
            </w:r>
            <w:r>
              <w:rPr>
                <w:rFonts w:asciiTheme="minorEastAsia" w:hAnsiTheme="minorEastAsia" w:eastAsiaTheme="minorEastAsia"/>
                <w:bCs/>
                <w:sz w:val="21"/>
                <w:szCs w:val="21"/>
              </w:rPr>
              <w:t>份额业绩比较基准为2.</w:t>
            </w:r>
            <w:r>
              <w:rPr>
                <w:rFonts w:hint="eastAsia" w:asciiTheme="minorEastAsia" w:hAnsiTheme="minorEastAsia" w:eastAsiaTheme="minorEastAsia"/>
                <w:bCs/>
                <w:sz w:val="21"/>
                <w:szCs w:val="21"/>
              </w:rPr>
              <w:t>60</w:t>
            </w:r>
            <w:r>
              <w:rPr>
                <w:rFonts w:asciiTheme="minorEastAsia" w:hAnsiTheme="minorEastAsia" w:eastAsiaTheme="minorEastAsia"/>
                <w:bCs/>
                <w:sz w:val="21"/>
                <w:szCs w:val="21"/>
              </w:rPr>
              <w:t>%；</w:t>
            </w:r>
          </w:p>
          <w:p>
            <w:pPr>
              <w:snapToGrid w:val="0"/>
              <w:spacing w:line="440" w:lineRule="exact"/>
              <w:ind w:firstLine="0" w:firstLineChars="0"/>
              <w:rPr>
                <w:rFonts w:asciiTheme="minorEastAsia" w:hAnsiTheme="minorEastAsia" w:eastAsiaTheme="minorEastAsia"/>
                <w:b/>
                <w:sz w:val="21"/>
                <w:szCs w:val="21"/>
              </w:rPr>
            </w:pPr>
            <w:r>
              <w:rPr>
                <w:rFonts w:asciiTheme="minorEastAsia" w:hAnsiTheme="minorEastAsia" w:eastAsiaTheme="minorEastAsia"/>
                <w:bCs/>
                <w:sz w:val="21"/>
                <w:szCs w:val="21"/>
              </w:rPr>
              <w:t>本产品拟投资资产包含债券、非标准化债权类资产、资管产品及公募基金等，业绩比较基准参考发行前1个月的中债平均收益率、中国人民银行公布的三个月定期存款基准利率、非标准化债权类资产等资产的平均收益率，结合中债综合财富指数等历史数据，测算资产收益进行确定。</w:t>
            </w:r>
            <w:r>
              <w:rPr>
                <w:rFonts w:hint="eastAsia" w:asciiTheme="minorEastAsia" w:hAnsiTheme="minorEastAsia" w:eastAsiaTheme="minorEastAsia"/>
                <w:bCs/>
                <w:sz w:val="21"/>
                <w:szCs w:val="21"/>
              </w:rPr>
              <w:t>（</w:t>
            </w:r>
            <w:r>
              <w:rPr>
                <w:rFonts w:asciiTheme="minorEastAsia" w:hAnsiTheme="minorEastAsia" w:eastAsiaTheme="minorEastAsia"/>
                <w:bCs/>
                <w:sz w:val="21"/>
                <w:szCs w:val="21"/>
              </w:rPr>
              <w:t>以上均为年化收益率</w:t>
            </w:r>
            <w:r>
              <w:rPr>
                <w:rFonts w:hint="eastAsia" w:asciiTheme="minorEastAsia" w:hAnsiTheme="minorEastAsia" w:eastAsiaTheme="minorEastAsia"/>
                <w:bCs/>
                <w:sz w:val="21"/>
                <w:szCs w:val="21"/>
              </w:rPr>
              <w:t>）</w:t>
            </w:r>
            <w:r>
              <w:rPr>
                <w:rFonts w:asciiTheme="minorEastAsia" w:hAnsiTheme="minorEastAsia" w:eastAsiaTheme="minorEastAsia"/>
                <w:bCs/>
                <w:sz w:val="21"/>
                <w:szCs w:val="21"/>
              </w:rPr>
              <w:t>。本产品为净值型产品，其业绩表现将随市场波动，具有不确定性。</w:t>
            </w:r>
            <w:r>
              <w:rPr>
                <w:rFonts w:asciiTheme="minorEastAsia" w:hAnsiTheme="minorEastAsia" w:eastAsiaTheme="minorEastAsia"/>
                <w:b/>
                <w:sz w:val="21"/>
                <w:szCs w:val="21"/>
              </w:rPr>
              <w:t>本业绩比较基准仅作为参考，不具有法律约束力，不是预期收益率，不代表本产品的未来表现和实际收益，不构成对本产品的任何收益承诺。</w:t>
            </w:r>
          </w:p>
          <w:p>
            <w:pPr>
              <w:snapToGrid w:val="0"/>
              <w:spacing w:line="440" w:lineRule="exact"/>
              <w:ind w:right="-122" w:rightChars="-51" w:firstLine="0" w:firstLineChars="0"/>
              <w:rPr>
                <w:rFonts w:asciiTheme="minorEastAsia" w:hAnsiTheme="minorEastAsia" w:eastAsiaTheme="minorEastAsia"/>
                <w:bCs/>
                <w:sz w:val="21"/>
                <w:szCs w:val="21"/>
              </w:rPr>
            </w:pPr>
            <w:r>
              <w:rPr>
                <w:rFonts w:asciiTheme="minorEastAsia" w:hAnsiTheme="minorEastAsia" w:eastAsiaTheme="minorEastAsia"/>
                <w:bCs/>
                <w:sz w:val="21"/>
                <w:szCs w:val="21"/>
              </w:rPr>
              <w:t>在法律法规允许的情况下，产品管理人有权根据市场变动及产品运作情况调整业绩比较基准并进行信息披露。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1771" w:type="dxa"/>
            <w:vAlign w:val="center"/>
          </w:tcPr>
          <w:p>
            <w:pPr>
              <w:snapToGrid w:val="0"/>
              <w:spacing w:line="440" w:lineRule="exact"/>
              <w:ind w:firstLine="27" w:firstLineChars="13"/>
              <w:jc w:val="center"/>
              <w:rPr>
                <w:rFonts w:asciiTheme="minorEastAsia" w:hAnsiTheme="minorEastAsia" w:eastAsiaTheme="minorEastAsia"/>
                <w:bCs/>
                <w:sz w:val="21"/>
                <w:szCs w:val="21"/>
              </w:rPr>
            </w:pPr>
            <w:r>
              <w:rPr>
                <w:rFonts w:asciiTheme="minorEastAsia" w:hAnsiTheme="minorEastAsia" w:eastAsiaTheme="minorEastAsia"/>
                <w:bCs/>
                <w:sz w:val="21"/>
                <w:szCs w:val="21"/>
              </w:rPr>
              <w:t>初始单位净值</w:t>
            </w:r>
          </w:p>
        </w:tc>
        <w:tc>
          <w:tcPr>
            <w:tcW w:w="6392" w:type="dxa"/>
          </w:tcPr>
          <w:p>
            <w:pPr>
              <w:snapToGrid w:val="0"/>
              <w:spacing w:line="440" w:lineRule="exact"/>
              <w:ind w:firstLine="27" w:firstLineChars="13"/>
              <w:rPr>
                <w:rFonts w:asciiTheme="minorEastAsia" w:hAnsiTheme="minorEastAsia" w:eastAsiaTheme="minorEastAsia"/>
                <w:bCs/>
                <w:sz w:val="21"/>
                <w:szCs w:val="21"/>
              </w:rPr>
            </w:pPr>
            <w:r>
              <w:rPr>
                <w:rFonts w:asciiTheme="minorEastAsia" w:hAnsiTheme="minorEastAsia" w:eastAsiaTheme="minorEastAsia"/>
                <w:bCs/>
                <w:sz w:val="21"/>
                <w:szCs w:val="21"/>
              </w:rPr>
              <w:t>1.0000元/份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2" w:hRule="atLeast"/>
        </w:trPr>
        <w:tc>
          <w:tcPr>
            <w:tcW w:w="1771" w:type="dxa"/>
            <w:vAlign w:val="center"/>
          </w:tcPr>
          <w:p>
            <w:pPr>
              <w:snapToGrid w:val="0"/>
              <w:spacing w:line="440" w:lineRule="exact"/>
              <w:ind w:firstLine="422"/>
              <w:jc w:val="center"/>
              <w:rPr>
                <w:rFonts w:asciiTheme="minorEastAsia" w:hAnsiTheme="minorEastAsia" w:eastAsiaTheme="minorEastAsia"/>
                <w:b/>
                <w:sz w:val="21"/>
                <w:szCs w:val="21"/>
              </w:rPr>
            </w:pPr>
            <w:r>
              <w:rPr>
                <w:rFonts w:asciiTheme="minorEastAsia" w:hAnsiTheme="minorEastAsia" w:eastAsiaTheme="minorEastAsia"/>
                <w:b/>
                <w:sz w:val="21"/>
                <w:szCs w:val="21"/>
              </w:rPr>
              <w:t>理财产品费用</w:t>
            </w:r>
          </w:p>
        </w:tc>
        <w:tc>
          <w:tcPr>
            <w:tcW w:w="6392" w:type="dxa"/>
          </w:tcPr>
          <w:p>
            <w:pPr>
              <w:snapToGrid w:val="0"/>
              <w:spacing w:line="440" w:lineRule="exact"/>
              <w:ind w:firstLine="0" w:firstLineChars="0"/>
              <w:rPr>
                <w:rFonts w:asciiTheme="minorEastAsia" w:hAnsiTheme="minorEastAsia" w:eastAsiaTheme="minorEastAsia"/>
                <w:b/>
                <w:sz w:val="21"/>
                <w:szCs w:val="21"/>
              </w:rPr>
            </w:pPr>
            <w:r>
              <w:rPr>
                <w:rFonts w:asciiTheme="minorEastAsia" w:hAnsiTheme="minorEastAsia" w:eastAsiaTheme="minorEastAsia"/>
                <w:b/>
                <w:sz w:val="21"/>
                <w:szCs w:val="21"/>
              </w:rPr>
              <w:t>理财产品费用包含销售服务费、固定管理费、托管费、浮动管理费相关费用，各费用率均为年化数值。</w:t>
            </w:r>
          </w:p>
          <w:p>
            <w:pPr>
              <w:snapToGrid w:val="0"/>
              <w:spacing w:line="440" w:lineRule="exact"/>
              <w:ind w:firstLine="0" w:firstLineChars="0"/>
              <w:rPr>
                <w:rFonts w:asciiTheme="minorEastAsia" w:hAnsiTheme="minorEastAsia" w:eastAsiaTheme="minorEastAsia"/>
                <w:b/>
                <w:sz w:val="21"/>
                <w:szCs w:val="21"/>
              </w:rPr>
            </w:pPr>
            <w:r>
              <w:rPr>
                <w:rFonts w:asciiTheme="minorEastAsia" w:hAnsiTheme="minorEastAsia" w:eastAsiaTheme="minorEastAsia"/>
                <w:b/>
                <w:sz w:val="21"/>
                <w:szCs w:val="21"/>
              </w:rPr>
              <w:t>1、销售服务费率：A份额为0.</w:t>
            </w:r>
            <w:r>
              <w:rPr>
                <w:rFonts w:hint="eastAsia" w:asciiTheme="minorEastAsia" w:hAnsiTheme="minorEastAsia" w:eastAsiaTheme="minorEastAsia"/>
                <w:b/>
                <w:sz w:val="21"/>
                <w:szCs w:val="21"/>
              </w:rPr>
              <w:t>15</w:t>
            </w:r>
            <w:r>
              <w:rPr>
                <w:rFonts w:asciiTheme="minorEastAsia" w:hAnsiTheme="minorEastAsia" w:eastAsiaTheme="minorEastAsia"/>
                <w:b/>
                <w:sz w:val="21"/>
                <w:szCs w:val="21"/>
              </w:rPr>
              <w:t>%，B份额为0.</w:t>
            </w:r>
            <w:r>
              <w:rPr>
                <w:rFonts w:hint="eastAsia" w:asciiTheme="minorEastAsia" w:hAnsiTheme="minorEastAsia" w:eastAsiaTheme="minorEastAsia"/>
                <w:b/>
                <w:sz w:val="21"/>
                <w:szCs w:val="21"/>
              </w:rPr>
              <w:t>30</w:t>
            </w:r>
            <w:r>
              <w:rPr>
                <w:rFonts w:asciiTheme="minorEastAsia" w:hAnsiTheme="minorEastAsia" w:eastAsiaTheme="minorEastAsia"/>
                <w:b/>
                <w:sz w:val="21"/>
                <w:szCs w:val="21"/>
              </w:rPr>
              <w:t>%</w:t>
            </w:r>
            <w:r>
              <w:rPr>
                <w:rFonts w:hint="eastAsia" w:asciiTheme="minorEastAsia" w:hAnsiTheme="minorEastAsia" w:eastAsiaTheme="minorEastAsia"/>
                <w:b/>
                <w:sz w:val="21"/>
                <w:szCs w:val="21"/>
              </w:rPr>
              <w:t>，C</w:t>
            </w:r>
            <w:r>
              <w:rPr>
                <w:rFonts w:asciiTheme="minorEastAsia" w:hAnsiTheme="minorEastAsia" w:eastAsiaTheme="minorEastAsia"/>
                <w:b/>
                <w:sz w:val="21"/>
                <w:szCs w:val="21"/>
              </w:rPr>
              <w:t>份额为0.</w:t>
            </w:r>
            <w:r>
              <w:rPr>
                <w:rFonts w:hint="eastAsia" w:asciiTheme="minorEastAsia" w:hAnsiTheme="minorEastAsia" w:eastAsiaTheme="minorEastAsia"/>
                <w:b/>
                <w:sz w:val="21"/>
                <w:szCs w:val="21"/>
              </w:rPr>
              <w:t>10</w:t>
            </w:r>
            <w:r>
              <w:rPr>
                <w:rFonts w:asciiTheme="minorEastAsia" w:hAnsiTheme="minorEastAsia" w:eastAsiaTheme="minorEastAsia"/>
                <w:b/>
                <w:sz w:val="21"/>
                <w:szCs w:val="21"/>
              </w:rPr>
              <w:t>%</w:t>
            </w:r>
            <w:r>
              <w:rPr>
                <w:rFonts w:hint="eastAsia" w:asciiTheme="minorEastAsia" w:hAnsiTheme="minorEastAsia" w:eastAsiaTheme="minorEastAsia"/>
                <w:b/>
                <w:sz w:val="21"/>
                <w:szCs w:val="21"/>
              </w:rPr>
              <w:t>，D份额</w:t>
            </w:r>
            <w:r>
              <w:rPr>
                <w:rFonts w:asciiTheme="minorEastAsia" w:hAnsiTheme="minorEastAsia" w:eastAsiaTheme="minorEastAsia"/>
                <w:b/>
                <w:sz w:val="21"/>
                <w:szCs w:val="21"/>
              </w:rPr>
              <w:t>为0.</w:t>
            </w:r>
            <w:r>
              <w:rPr>
                <w:rFonts w:hint="eastAsia" w:asciiTheme="minorEastAsia" w:hAnsiTheme="minorEastAsia" w:eastAsiaTheme="minorEastAsia"/>
                <w:b/>
                <w:sz w:val="21"/>
                <w:szCs w:val="21"/>
              </w:rPr>
              <w:t>10</w:t>
            </w:r>
            <w:r>
              <w:rPr>
                <w:rFonts w:asciiTheme="minorEastAsia" w:hAnsiTheme="minorEastAsia" w:eastAsiaTheme="minorEastAsia"/>
                <w:b/>
                <w:sz w:val="21"/>
                <w:szCs w:val="21"/>
              </w:rPr>
              <w:t>%；</w:t>
            </w:r>
          </w:p>
          <w:p>
            <w:pPr>
              <w:snapToGrid w:val="0"/>
              <w:spacing w:line="440" w:lineRule="exact"/>
              <w:ind w:firstLine="0" w:firstLineChars="0"/>
              <w:rPr>
                <w:rFonts w:asciiTheme="minorEastAsia" w:hAnsiTheme="minorEastAsia" w:eastAsiaTheme="minorEastAsia"/>
                <w:b/>
                <w:sz w:val="21"/>
                <w:szCs w:val="21"/>
              </w:rPr>
            </w:pPr>
            <w:r>
              <w:rPr>
                <w:rFonts w:asciiTheme="minorEastAsia" w:hAnsiTheme="minorEastAsia" w:eastAsiaTheme="minorEastAsia"/>
                <w:b/>
                <w:sz w:val="21"/>
                <w:szCs w:val="21"/>
              </w:rPr>
              <w:t>2、固定管理费率：A份额为0.</w:t>
            </w:r>
            <w:r>
              <w:rPr>
                <w:rFonts w:hint="eastAsia" w:asciiTheme="minorEastAsia" w:hAnsiTheme="minorEastAsia" w:eastAsiaTheme="minorEastAsia"/>
                <w:b/>
                <w:sz w:val="21"/>
                <w:szCs w:val="21"/>
              </w:rPr>
              <w:t>05</w:t>
            </w:r>
            <w:r>
              <w:rPr>
                <w:rFonts w:asciiTheme="minorEastAsia" w:hAnsiTheme="minorEastAsia" w:eastAsiaTheme="minorEastAsia"/>
                <w:b/>
                <w:sz w:val="21"/>
                <w:szCs w:val="21"/>
              </w:rPr>
              <w:t>%，B份额为0.05%</w:t>
            </w:r>
            <w:r>
              <w:rPr>
                <w:rFonts w:hint="eastAsia" w:asciiTheme="minorEastAsia" w:hAnsiTheme="minorEastAsia" w:eastAsiaTheme="minorEastAsia"/>
                <w:b/>
                <w:sz w:val="21"/>
                <w:szCs w:val="21"/>
              </w:rPr>
              <w:t>，C</w:t>
            </w:r>
            <w:r>
              <w:rPr>
                <w:rFonts w:asciiTheme="minorEastAsia" w:hAnsiTheme="minorEastAsia" w:eastAsiaTheme="minorEastAsia"/>
                <w:b/>
                <w:sz w:val="21"/>
                <w:szCs w:val="21"/>
              </w:rPr>
              <w:t>份额为0.05%</w:t>
            </w:r>
            <w:r>
              <w:rPr>
                <w:rFonts w:hint="eastAsia" w:asciiTheme="minorEastAsia" w:hAnsiTheme="minorEastAsia" w:eastAsiaTheme="minorEastAsia"/>
                <w:b/>
                <w:sz w:val="21"/>
                <w:szCs w:val="21"/>
              </w:rPr>
              <w:t>，D</w:t>
            </w:r>
            <w:r>
              <w:rPr>
                <w:rFonts w:asciiTheme="minorEastAsia" w:hAnsiTheme="minorEastAsia" w:eastAsiaTheme="minorEastAsia"/>
                <w:b/>
                <w:sz w:val="21"/>
                <w:szCs w:val="21"/>
              </w:rPr>
              <w:t>份额为0.05%；</w:t>
            </w:r>
          </w:p>
          <w:p>
            <w:pPr>
              <w:snapToGrid w:val="0"/>
              <w:spacing w:line="440" w:lineRule="exact"/>
              <w:ind w:firstLine="0" w:firstLineChars="0"/>
              <w:rPr>
                <w:rFonts w:asciiTheme="minorEastAsia" w:hAnsiTheme="minorEastAsia" w:eastAsiaTheme="minorEastAsia"/>
                <w:b/>
                <w:sz w:val="21"/>
                <w:szCs w:val="21"/>
              </w:rPr>
            </w:pPr>
            <w:r>
              <w:rPr>
                <w:rFonts w:asciiTheme="minorEastAsia" w:hAnsiTheme="minorEastAsia" w:eastAsiaTheme="minorEastAsia"/>
                <w:b/>
                <w:sz w:val="21"/>
                <w:szCs w:val="21"/>
              </w:rPr>
              <w:t>3、托管费率为0.007%；</w:t>
            </w:r>
          </w:p>
          <w:p>
            <w:pPr>
              <w:snapToGrid w:val="0"/>
              <w:spacing w:line="440" w:lineRule="exact"/>
              <w:ind w:firstLine="0" w:firstLineChars="0"/>
              <w:rPr>
                <w:rFonts w:asciiTheme="minorEastAsia" w:hAnsiTheme="minorEastAsia" w:eastAsiaTheme="minorEastAsia"/>
                <w:b/>
                <w:sz w:val="21"/>
                <w:szCs w:val="21"/>
              </w:rPr>
            </w:pPr>
            <w:r>
              <w:rPr>
                <w:rFonts w:asciiTheme="minorEastAsia" w:hAnsiTheme="minorEastAsia" w:eastAsiaTheme="minorEastAsia"/>
                <w:b/>
                <w:sz w:val="21"/>
                <w:szCs w:val="21"/>
              </w:rPr>
              <w:t>4、</w:t>
            </w:r>
            <w:bookmarkStart w:id="14" w:name="_Hlk152862678"/>
            <w:r>
              <w:rPr>
                <w:rFonts w:asciiTheme="minorEastAsia" w:hAnsiTheme="minorEastAsia" w:eastAsiaTheme="minorEastAsia"/>
                <w:b/>
                <w:sz w:val="21"/>
                <w:szCs w:val="21"/>
              </w:rPr>
              <w:t>本产品收取浮动管理费，假设A份额、B份额</w:t>
            </w:r>
            <w:r>
              <w:rPr>
                <w:rFonts w:hint="eastAsia" w:asciiTheme="minorEastAsia" w:hAnsiTheme="minorEastAsia" w:eastAsiaTheme="minorEastAsia"/>
                <w:b/>
                <w:sz w:val="21"/>
                <w:szCs w:val="21"/>
              </w:rPr>
              <w:t>、C</w:t>
            </w:r>
            <w:r>
              <w:rPr>
                <w:rFonts w:asciiTheme="minorEastAsia" w:hAnsiTheme="minorEastAsia" w:eastAsiaTheme="minorEastAsia"/>
                <w:b/>
                <w:sz w:val="21"/>
                <w:szCs w:val="21"/>
              </w:rPr>
              <w:t>份额</w:t>
            </w:r>
            <w:r>
              <w:rPr>
                <w:rFonts w:hint="eastAsia" w:asciiTheme="minorEastAsia" w:hAnsiTheme="minorEastAsia" w:eastAsiaTheme="minorEastAsia"/>
                <w:b/>
                <w:sz w:val="21"/>
                <w:szCs w:val="21"/>
              </w:rPr>
              <w:t>、D份额</w:t>
            </w:r>
            <w:r>
              <w:rPr>
                <w:rFonts w:asciiTheme="minorEastAsia" w:hAnsiTheme="minorEastAsia" w:eastAsiaTheme="minorEastAsia"/>
                <w:b/>
                <w:sz w:val="21"/>
                <w:szCs w:val="21"/>
              </w:rPr>
              <w:t>折算的产品份额类别年化收益率分别为RA、RB、R</w:t>
            </w:r>
            <w:r>
              <w:rPr>
                <w:rFonts w:hint="eastAsia" w:asciiTheme="minorEastAsia" w:hAnsiTheme="minorEastAsia" w:eastAsiaTheme="minorEastAsia"/>
                <w:b/>
                <w:sz w:val="21"/>
                <w:szCs w:val="21"/>
              </w:rPr>
              <w:t>C</w:t>
            </w:r>
            <w:r>
              <w:rPr>
                <w:rFonts w:asciiTheme="minorEastAsia" w:hAnsiTheme="minorEastAsia" w:eastAsiaTheme="minorEastAsia"/>
                <w:b/>
                <w:sz w:val="21"/>
                <w:szCs w:val="21"/>
              </w:rPr>
              <w:t>、R</w:t>
            </w:r>
            <w:r>
              <w:rPr>
                <w:rFonts w:hint="eastAsia" w:asciiTheme="minorEastAsia" w:hAnsiTheme="minorEastAsia" w:eastAsiaTheme="minorEastAsia"/>
                <w:b/>
                <w:sz w:val="21"/>
                <w:szCs w:val="21"/>
              </w:rPr>
              <w:t>D</w:t>
            </w:r>
            <w:r>
              <w:rPr>
                <w:rFonts w:asciiTheme="minorEastAsia" w:hAnsiTheme="minorEastAsia" w:eastAsiaTheme="minorEastAsia"/>
                <w:b/>
                <w:sz w:val="21"/>
                <w:szCs w:val="21"/>
              </w:rPr>
              <w:t>:</w:t>
            </w:r>
          </w:p>
          <w:p>
            <w:pPr>
              <w:snapToGrid w:val="0"/>
              <w:spacing w:line="440" w:lineRule="exact"/>
              <w:ind w:firstLine="0" w:firstLineChars="0"/>
              <w:rPr>
                <w:rFonts w:asciiTheme="minorEastAsia" w:hAnsiTheme="minorEastAsia" w:eastAsiaTheme="minorEastAsia"/>
                <w:b/>
                <w:sz w:val="21"/>
                <w:szCs w:val="21"/>
              </w:rPr>
            </w:pPr>
            <w:r>
              <w:rPr>
                <w:rFonts w:asciiTheme="minorEastAsia" w:hAnsiTheme="minorEastAsia" w:eastAsiaTheme="minorEastAsia"/>
                <w:b/>
                <w:sz w:val="21"/>
                <w:szCs w:val="21"/>
              </w:rPr>
              <w:t>若RA≤2.</w:t>
            </w:r>
            <w:r>
              <w:rPr>
                <w:rFonts w:hint="eastAsia" w:asciiTheme="minorEastAsia" w:hAnsiTheme="minorEastAsia" w:eastAsiaTheme="minorEastAsia"/>
                <w:b/>
                <w:sz w:val="21"/>
                <w:szCs w:val="21"/>
              </w:rPr>
              <w:t>55</w:t>
            </w:r>
            <w:r>
              <w:rPr>
                <w:rFonts w:asciiTheme="minorEastAsia" w:hAnsiTheme="minorEastAsia" w:eastAsiaTheme="minorEastAsia"/>
                <w:b/>
                <w:sz w:val="21"/>
                <w:szCs w:val="21"/>
              </w:rPr>
              <w:t>%，RB≤2.</w:t>
            </w:r>
            <w:r>
              <w:rPr>
                <w:rFonts w:hint="eastAsia" w:asciiTheme="minorEastAsia" w:hAnsiTheme="minorEastAsia" w:eastAsiaTheme="minorEastAsia"/>
                <w:b/>
                <w:sz w:val="21"/>
                <w:szCs w:val="21"/>
              </w:rPr>
              <w:t>40</w:t>
            </w:r>
            <w:r>
              <w:rPr>
                <w:rFonts w:asciiTheme="minorEastAsia" w:hAnsiTheme="minorEastAsia" w:eastAsiaTheme="minorEastAsia"/>
                <w:b/>
                <w:sz w:val="21"/>
                <w:szCs w:val="21"/>
              </w:rPr>
              <w:t>%，R</w:t>
            </w:r>
            <w:r>
              <w:rPr>
                <w:rFonts w:hint="eastAsia" w:asciiTheme="minorEastAsia" w:hAnsiTheme="minorEastAsia" w:eastAsiaTheme="minorEastAsia"/>
                <w:b/>
                <w:sz w:val="21"/>
                <w:szCs w:val="21"/>
              </w:rPr>
              <w:t>C</w:t>
            </w:r>
            <w:r>
              <w:rPr>
                <w:rFonts w:asciiTheme="minorEastAsia" w:hAnsiTheme="minorEastAsia" w:eastAsiaTheme="minorEastAsia"/>
                <w:b/>
                <w:sz w:val="21"/>
                <w:szCs w:val="21"/>
              </w:rPr>
              <w:t>≤2.</w:t>
            </w:r>
            <w:r>
              <w:rPr>
                <w:rFonts w:hint="eastAsia" w:asciiTheme="minorEastAsia" w:hAnsiTheme="minorEastAsia" w:eastAsiaTheme="minorEastAsia"/>
                <w:b/>
                <w:sz w:val="21"/>
                <w:szCs w:val="21"/>
              </w:rPr>
              <w:t>60</w:t>
            </w:r>
            <w:r>
              <w:rPr>
                <w:rFonts w:asciiTheme="minorEastAsia" w:hAnsiTheme="minorEastAsia" w:eastAsiaTheme="minorEastAsia"/>
                <w:b/>
                <w:sz w:val="21"/>
                <w:szCs w:val="21"/>
              </w:rPr>
              <w:t>%，R</w:t>
            </w:r>
            <w:r>
              <w:rPr>
                <w:rFonts w:hint="eastAsia" w:asciiTheme="minorEastAsia" w:hAnsiTheme="minorEastAsia" w:eastAsiaTheme="minorEastAsia"/>
                <w:b/>
                <w:sz w:val="21"/>
                <w:szCs w:val="21"/>
              </w:rPr>
              <w:t>D</w:t>
            </w:r>
            <w:r>
              <w:rPr>
                <w:rFonts w:asciiTheme="minorEastAsia" w:hAnsiTheme="minorEastAsia" w:eastAsiaTheme="minorEastAsia"/>
                <w:b/>
                <w:sz w:val="21"/>
                <w:szCs w:val="21"/>
              </w:rPr>
              <w:t>≤2.</w:t>
            </w:r>
            <w:r>
              <w:rPr>
                <w:rFonts w:hint="eastAsia" w:asciiTheme="minorEastAsia" w:hAnsiTheme="minorEastAsia" w:eastAsiaTheme="minorEastAsia"/>
                <w:b/>
                <w:sz w:val="21"/>
                <w:szCs w:val="21"/>
              </w:rPr>
              <w:t>60</w:t>
            </w:r>
            <w:r>
              <w:rPr>
                <w:rFonts w:asciiTheme="minorEastAsia" w:hAnsiTheme="minorEastAsia" w:eastAsiaTheme="minorEastAsia"/>
                <w:b/>
                <w:sz w:val="21"/>
                <w:szCs w:val="21"/>
              </w:rPr>
              <w:t>%，产品管理人不对该份额类别收取浮动管理费；</w:t>
            </w:r>
          </w:p>
          <w:p>
            <w:pPr>
              <w:snapToGrid w:val="0"/>
              <w:spacing w:line="440" w:lineRule="exact"/>
              <w:ind w:firstLine="0" w:firstLineChars="0"/>
              <w:rPr>
                <w:rFonts w:asciiTheme="minorEastAsia" w:hAnsiTheme="minorEastAsia" w:eastAsiaTheme="minorEastAsia"/>
                <w:b/>
                <w:sz w:val="21"/>
                <w:szCs w:val="21"/>
              </w:rPr>
            </w:pPr>
            <w:r>
              <w:rPr>
                <w:rFonts w:asciiTheme="minorEastAsia" w:hAnsiTheme="minorEastAsia" w:eastAsiaTheme="minorEastAsia"/>
                <w:b/>
                <w:sz w:val="21"/>
                <w:szCs w:val="21"/>
              </w:rPr>
              <w:t>若RA&gt;2.</w:t>
            </w:r>
            <w:r>
              <w:rPr>
                <w:rFonts w:hint="eastAsia" w:asciiTheme="minorEastAsia" w:hAnsiTheme="minorEastAsia" w:eastAsiaTheme="minorEastAsia"/>
                <w:b/>
                <w:sz w:val="21"/>
                <w:szCs w:val="21"/>
              </w:rPr>
              <w:t>55</w:t>
            </w:r>
            <w:r>
              <w:rPr>
                <w:rFonts w:asciiTheme="minorEastAsia" w:hAnsiTheme="minorEastAsia" w:eastAsiaTheme="minorEastAsia"/>
                <w:b/>
                <w:sz w:val="21"/>
                <w:szCs w:val="21"/>
              </w:rPr>
              <w:t>%，则超过部分10％归投资者所有，其余90％作为产品管理人的浮动管理费；RB&gt;2.</w:t>
            </w:r>
            <w:r>
              <w:rPr>
                <w:rFonts w:hint="eastAsia" w:asciiTheme="minorEastAsia" w:hAnsiTheme="minorEastAsia" w:eastAsiaTheme="minorEastAsia"/>
                <w:b/>
                <w:sz w:val="21"/>
                <w:szCs w:val="21"/>
              </w:rPr>
              <w:t>40</w:t>
            </w:r>
            <w:r>
              <w:rPr>
                <w:rFonts w:asciiTheme="minorEastAsia" w:hAnsiTheme="minorEastAsia" w:eastAsiaTheme="minorEastAsia"/>
                <w:b/>
                <w:sz w:val="21"/>
                <w:szCs w:val="21"/>
              </w:rPr>
              <w:t>%，则超过部分10％归投资者所有，其余90％作为产品管理人的浮动管理费；R</w:t>
            </w:r>
            <w:r>
              <w:rPr>
                <w:rFonts w:hint="eastAsia" w:asciiTheme="minorEastAsia" w:hAnsiTheme="minorEastAsia" w:eastAsiaTheme="minorEastAsia"/>
                <w:b/>
                <w:sz w:val="21"/>
                <w:szCs w:val="21"/>
              </w:rPr>
              <w:t>C</w:t>
            </w:r>
            <w:r>
              <w:rPr>
                <w:rFonts w:asciiTheme="minorEastAsia" w:hAnsiTheme="minorEastAsia" w:eastAsiaTheme="minorEastAsia"/>
                <w:b/>
                <w:sz w:val="21"/>
                <w:szCs w:val="21"/>
              </w:rPr>
              <w:t>&gt;2.</w:t>
            </w:r>
            <w:r>
              <w:rPr>
                <w:rFonts w:hint="eastAsia" w:asciiTheme="minorEastAsia" w:hAnsiTheme="minorEastAsia" w:eastAsiaTheme="minorEastAsia"/>
                <w:b/>
                <w:sz w:val="21"/>
                <w:szCs w:val="21"/>
              </w:rPr>
              <w:t>60</w:t>
            </w:r>
            <w:r>
              <w:rPr>
                <w:rFonts w:asciiTheme="minorEastAsia" w:hAnsiTheme="minorEastAsia" w:eastAsiaTheme="minorEastAsia"/>
                <w:b/>
                <w:sz w:val="21"/>
                <w:szCs w:val="21"/>
              </w:rPr>
              <w:t>%，则超过部分10％归投资者所有，其余90％作为产品管理人的浮动管理费；R</w:t>
            </w:r>
            <w:r>
              <w:rPr>
                <w:rFonts w:hint="eastAsia" w:asciiTheme="minorEastAsia" w:hAnsiTheme="minorEastAsia" w:eastAsiaTheme="minorEastAsia"/>
                <w:b/>
                <w:sz w:val="21"/>
                <w:szCs w:val="21"/>
              </w:rPr>
              <w:t>D</w:t>
            </w:r>
            <w:r>
              <w:rPr>
                <w:rFonts w:asciiTheme="minorEastAsia" w:hAnsiTheme="minorEastAsia" w:eastAsiaTheme="minorEastAsia"/>
                <w:b/>
                <w:sz w:val="21"/>
                <w:szCs w:val="21"/>
              </w:rPr>
              <w:t>&gt;2.</w:t>
            </w:r>
            <w:r>
              <w:rPr>
                <w:rFonts w:hint="eastAsia" w:asciiTheme="minorEastAsia" w:hAnsiTheme="minorEastAsia" w:eastAsiaTheme="minorEastAsia"/>
                <w:b/>
                <w:sz w:val="21"/>
                <w:szCs w:val="21"/>
              </w:rPr>
              <w:t>60</w:t>
            </w:r>
            <w:r>
              <w:rPr>
                <w:rFonts w:asciiTheme="minorEastAsia" w:hAnsiTheme="minorEastAsia" w:eastAsiaTheme="minorEastAsia"/>
                <w:b/>
                <w:sz w:val="21"/>
                <w:szCs w:val="21"/>
              </w:rPr>
              <w:t>%，则超过部分10％归投资者所有，其余90％作为产品管理人的浮动管理费；</w:t>
            </w:r>
          </w:p>
          <w:bookmarkEnd w:id="14"/>
          <w:p>
            <w:pPr>
              <w:snapToGrid w:val="0"/>
              <w:spacing w:line="440" w:lineRule="exact"/>
              <w:ind w:firstLine="0" w:firstLineChars="0"/>
              <w:rPr>
                <w:rFonts w:asciiTheme="minorEastAsia" w:hAnsiTheme="minorEastAsia" w:eastAsiaTheme="minorEastAsia"/>
                <w:b/>
                <w:sz w:val="21"/>
                <w:szCs w:val="21"/>
              </w:rPr>
            </w:pPr>
            <w:r>
              <w:rPr>
                <w:rFonts w:asciiTheme="minorEastAsia" w:hAnsiTheme="minorEastAsia" w:eastAsiaTheme="minorEastAsia"/>
                <w:b/>
                <w:sz w:val="21"/>
                <w:szCs w:val="21"/>
              </w:rPr>
              <w:t>5、其他费用。详细内容见以下“产品费用”条款。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trPr>
        <w:tc>
          <w:tcPr>
            <w:tcW w:w="1771" w:type="dxa"/>
            <w:vAlign w:val="center"/>
          </w:tcPr>
          <w:p>
            <w:pPr>
              <w:widowControl/>
              <w:snapToGrid w:val="0"/>
              <w:spacing w:line="440" w:lineRule="exact"/>
              <w:ind w:firstLine="0" w:firstLineChars="0"/>
              <w:jc w:val="center"/>
              <w:rPr>
                <w:rFonts w:asciiTheme="minorEastAsia" w:hAnsiTheme="minorEastAsia" w:eastAsiaTheme="minorEastAsia"/>
                <w:b/>
                <w:sz w:val="21"/>
                <w:szCs w:val="21"/>
              </w:rPr>
            </w:pPr>
            <w:r>
              <w:rPr>
                <w:rFonts w:asciiTheme="minorEastAsia" w:hAnsiTheme="minorEastAsia" w:eastAsiaTheme="minorEastAsia"/>
                <w:b/>
                <w:sz w:val="21"/>
                <w:szCs w:val="21"/>
              </w:rPr>
              <w:t>认购费率</w:t>
            </w:r>
          </w:p>
        </w:tc>
        <w:tc>
          <w:tcPr>
            <w:tcW w:w="6392" w:type="dxa"/>
            <w:vAlign w:val="center"/>
          </w:tcPr>
          <w:p>
            <w:pPr>
              <w:snapToGrid w:val="0"/>
              <w:spacing w:line="440" w:lineRule="exact"/>
              <w:ind w:right="-122" w:rightChars="-51" w:firstLine="0" w:firstLineChars="0"/>
              <w:rPr>
                <w:rFonts w:asciiTheme="minorEastAsia" w:hAnsiTheme="minorEastAsia" w:eastAsiaTheme="minorEastAsia"/>
                <w:b/>
                <w:sz w:val="21"/>
                <w:szCs w:val="21"/>
              </w:rPr>
            </w:pPr>
            <w:r>
              <w:rPr>
                <w:rFonts w:asciiTheme="minorEastAsia" w:hAnsiTheme="minorEastAsia" w:eastAsiaTheme="minorEastAsia"/>
                <w:b/>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1" w:hRule="atLeast"/>
        </w:trPr>
        <w:tc>
          <w:tcPr>
            <w:tcW w:w="1771" w:type="dxa"/>
            <w:vAlign w:val="center"/>
          </w:tcPr>
          <w:p>
            <w:pPr>
              <w:snapToGrid w:val="0"/>
              <w:spacing w:line="440" w:lineRule="exact"/>
              <w:ind w:firstLine="0" w:firstLineChars="0"/>
              <w:jc w:val="center"/>
              <w:rPr>
                <w:rFonts w:asciiTheme="minorEastAsia" w:hAnsiTheme="minorEastAsia" w:eastAsiaTheme="minorEastAsia"/>
                <w:bCs/>
                <w:sz w:val="21"/>
                <w:szCs w:val="21"/>
              </w:rPr>
            </w:pPr>
            <w:r>
              <w:rPr>
                <w:rFonts w:asciiTheme="minorEastAsia" w:hAnsiTheme="minorEastAsia" w:eastAsiaTheme="minorEastAsia"/>
                <w:bCs/>
                <w:sz w:val="21"/>
                <w:szCs w:val="21"/>
              </w:rPr>
              <w:t>认购起点金额</w:t>
            </w:r>
          </w:p>
        </w:tc>
        <w:tc>
          <w:tcPr>
            <w:tcW w:w="6392" w:type="dxa"/>
          </w:tcPr>
          <w:p>
            <w:pPr>
              <w:snapToGrid w:val="0"/>
              <w:spacing w:line="440" w:lineRule="exact"/>
              <w:ind w:firstLine="0" w:firstLineChars="0"/>
              <w:rPr>
                <w:rFonts w:asciiTheme="minorEastAsia" w:hAnsiTheme="minorEastAsia" w:eastAsiaTheme="minorEastAsia"/>
                <w:bCs/>
                <w:sz w:val="21"/>
                <w:szCs w:val="21"/>
              </w:rPr>
            </w:pPr>
            <w:r>
              <w:rPr>
                <w:rFonts w:asciiTheme="minorEastAsia" w:hAnsiTheme="minorEastAsia" w:eastAsiaTheme="minorEastAsia"/>
                <w:bCs/>
                <w:sz w:val="21"/>
                <w:szCs w:val="21"/>
              </w:rPr>
              <w:t>A份额认购起点金额为1元，高于认购起点金额部分以1元的整数倍递增；</w:t>
            </w:r>
          </w:p>
          <w:p>
            <w:pPr>
              <w:snapToGrid w:val="0"/>
              <w:spacing w:line="440" w:lineRule="exact"/>
              <w:ind w:firstLine="0" w:firstLineChars="0"/>
              <w:rPr>
                <w:rFonts w:asciiTheme="minorEastAsia" w:hAnsiTheme="minorEastAsia" w:eastAsiaTheme="minorEastAsia"/>
                <w:bCs/>
                <w:sz w:val="21"/>
                <w:szCs w:val="21"/>
              </w:rPr>
            </w:pPr>
            <w:r>
              <w:rPr>
                <w:rFonts w:asciiTheme="minorEastAsia" w:hAnsiTheme="minorEastAsia" w:eastAsiaTheme="minorEastAsia"/>
                <w:bCs/>
                <w:sz w:val="21"/>
                <w:szCs w:val="21"/>
              </w:rPr>
              <w:t>B份额认购起点金额为1元，高于认购起点金额部分以1元的整数倍递增；</w:t>
            </w:r>
          </w:p>
          <w:p>
            <w:pPr>
              <w:snapToGrid w:val="0"/>
              <w:spacing w:line="440" w:lineRule="exact"/>
              <w:ind w:firstLine="0" w:firstLineChars="0"/>
              <w:rPr>
                <w:rFonts w:asciiTheme="minorEastAsia" w:hAnsiTheme="minorEastAsia" w:eastAsiaTheme="minorEastAsia"/>
                <w:bCs/>
                <w:sz w:val="21"/>
                <w:szCs w:val="21"/>
              </w:rPr>
            </w:pPr>
            <w:r>
              <w:rPr>
                <w:rFonts w:hint="eastAsia" w:asciiTheme="minorEastAsia" w:hAnsiTheme="minorEastAsia" w:eastAsiaTheme="minorEastAsia"/>
                <w:bCs/>
                <w:sz w:val="21"/>
                <w:szCs w:val="21"/>
              </w:rPr>
              <w:t>C</w:t>
            </w:r>
            <w:r>
              <w:rPr>
                <w:rFonts w:asciiTheme="minorEastAsia" w:hAnsiTheme="minorEastAsia" w:eastAsiaTheme="minorEastAsia"/>
                <w:bCs/>
                <w:sz w:val="21"/>
                <w:szCs w:val="21"/>
              </w:rPr>
              <w:t>份额认购起点金额为1元，高于认购起点金额部分以1元的整数倍递增；</w:t>
            </w:r>
          </w:p>
          <w:p>
            <w:pPr>
              <w:snapToGrid w:val="0"/>
              <w:spacing w:line="440" w:lineRule="exact"/>
              <w:ind w:firstLine="0" w:firstLineChars="0"/>
              <w:rPr>
                <w:rFonts w:asciiTheme="minorEastAsia" w:hAnsiTheme="minorEastAsia" w:eastAsiaTheme="minorEastAsia"/>
                <w:bCs/>
                <w:sz w:val="21"/>
                <w:szCs w:val="21"/>
              </w:rPr>
            </w:pPr>
            <w:r>
              <w:rPr>
                <w:rFonts w:hint="eastAsia" w:asciiTheme="minorEastAsia" w:hAnsiTheme="minorEastAsia" w:eastAsiaTheme="minorEastAsia"/>
                <w:bCs/>
                <w:sz w:val="21"/>
                <w:szCs w:val="21"/>
              </w:rPr>
              <w:t>D</w:t>
            </w:r>
            <w:r>
              <w:rPr>
                <w:rFonts w:asciiTheme="minorEastAsia" w:hAnsiTheme="minorEastAsia" w:eastAsiaTheme="minorEastAsia"/>
                <w:bCs/>
                <w:sz w:val="21"/>
                <w:szCs w:val="21"/>
              </w:rPr>
              <w:t>份额认购起点金额为1元，高于认购起点金额部分以1元的整数倍递增；</w:t>
            </w:r>
          </w:p>
          <w:p>
            <w:pPr>
              <w:snapToGrid w:val="0"/>
              <w:spacing w:line="440" w:lineRule="exact"/>
              <w:ind w:firstLine="0" w:firstLineChars="0"/>
              <w:rPr>
                <w:rFonts w:asciiTheme="minorEastAsia" w:hAnsiTheme="minorEastAsia" w:eastAsiaTheme="minorEastAsia"/>
                <w:bCs/>
                <w:sz w:val="21"/>
                <w:szCs w:val="21"/>
              </w:rPr>
            </w:pPr>
            <w:r>
              <w:rPr>
                <w:rFonts w:asciiTheme="minorEastAsia" w:hAnsiTheme="minorEastAsia" w:eastAsiaTheme="minorEastAsia"/>
                <w:bCs/>
                <w:sz w:val="21"/>
                <w:szCs w:val="21"/>
              </w:rPr>
              <w:t>若本产品通过代理销售机构销售，代理销售机构可根据其销售需要对起点金额、递增金额进行重新设定，但不得低于销售文件之约定，投资者通过代理销售机构购买本理财产品的，以该代理销售机构最终披露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1771" w:type="dxa"/>
            <w:vAlign w:val="center"/>
          </w:tcPr>
          <w:p>
            <w:pPr>
              <w:snapToGrid w:val="0"/>
              <w:spacing w:line="440" w:lineRule="exact"/>
              <w:ind w:firstLine="0" w:firstLineChars="0"/>
              <w:jc w:val="center"/>
              <w:rPr>
                <w:rFonts w:asciiTheme="minorEastAsia" w:hAnsiTheme="minorEastAsia" w:eastAsiaTheme="minorEastAsia"/>
                <w:bCs/>
                <w:sz w:val="21"/>
                <w:szCs w:val="21"/>
              </w:rPr>
            </w:pPr>
            <w:r>
              <w:rPr>
                <w:rFonts w:asciiTheme="minorEastAsia" w:hAnsiTheme="minorEastAsia" w:eastAsiaTheme="minorEastAsia"/>
                <w:bCs/>
                <w:sz w:val="21"/>
                <w:szCs w:val="21"/>
              </w:rPr>
              <w:t>产品管理人</w:t>
            </w:r>
          </w:p>
        </w:tc>
        <w:tc>
          <w:tcPr>
            <w:tcW w:w="6392" w:type="dxa"/>
          </w:tcPr>
          <w:p>
            <w:pPr>
              <w:snapToGrid w:val="0"/>
              <w:spacing w:line="440" w:lineRule="exact"/>
              <w:ind w:firstLine="0" w:firstLineChars="0"/>
              <w:rPr>
                <w:rFonts w:asciiTheme="minorEastAsia" w:hAnsiTheme="minorEastAsia" w:eastAsiaTheme="minorEastAsia"/>
                <w:bCs/>
                <w:sz w:val="21"/>
                <w:szCs w:val="21"/>
              </w:rPr>
            </w:pPr>
            <w:r>
              <w:rPr>
                <w:rFonts w:asciiTheme="minorEastAsia" w:hAnsiTheme="minorEastAsia" w:eastAsiaTheme="minorEastAsia"/>
                <w:bCs/>
                <w:sz w:val="21"/>
                <w:szCs w:val="21"/>
              </w:rPr>
              <w:t>渝农商理财有限责任公司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87" w:hRule="atLeast"/>
        </w:trPr>
        <w:tc>
          <w:tcPr>
            <w:tcW w:w="1771" w:type="dxa"/>
            <w:vAlign w:val="center"/>
          </w:tcPr>
          <w:p>
            <w:pPr>
              <w:snapToGrid w:val="0"/>
              <w:spacing w:line="440" w:lineRule="exact"/>
              <w:ind w:firstLine="0" w:firstLineChars="0"/>
              <w:jc w:val="center"/>
              <w:rPr>
                <w:rFonts w:asciiTheme="minorEastAsia" w:hAnsiTheme="minorEastAsia" w:eastAsiaTheme="minorEastAsia"/>
                <w:bCs/>
                <w:sz w:val="21"/>
                <w:szCs w:val="21"/>
              </w:rPr>
            </w:pPr>
            <w:r>
              <w:rPr>
                <w:rFonts w:asciiTheme="minorEastAsia" w:hAnsiTheme="minorEastAsia" w:eastAsiaTheme="minorEastAsia"/>
                <w:bCs/>
                <w:sz w:val="21"/>
                <w:szCs w:val="21"/>
              </w:rPr>
              <w:t>销售（代理销售）机构</w:t>
            </w:r>
          </w:p>
        </w:tc>
        <w:tc>
          <w:tcPr>
            <w:tcW w:w="6392" w:type="dxa"/>
          </w:tcPr>
          <w:p>
            <w:pPr>
              <w:snapToGrid w:val="0"/>
              <w:spacing w:line="440" w:lineRule="exact"/>
              <w:ind w:firstLine="0" w:firstLineChars="0"/>
              <w:rPr>
                <w:rFonts w:asciiTheme="minorEastAsia" w:hAnsiTheme="minorEastAsia" w:eastAsiaTheme="minorEastAsia"/>
                <w:bCs/>
                <w:sz w:val="21"/>
                <w:szCs w:val="21"/>
              </w:rPr>
            </w:pPr>
            <w:r>
              <w:rPr>
                <w:rFonts w:asciiTheme="minorEastAsia" w:hAnsiTheme="minorEastAsia" w:eastAsiaTheme="minorEastAsia"/>
                <w:bCs/>
                <w:sz w:val="21"/>
                <w:szCs w:val="21"/>
              </w:rPr>
              <w:t>A份额的销售机构为重庆农村商业银行股份有限公司；</w:t>
            </w:r>
          </w:p>
          <w:p>
            <w:pPr>
              <w:snapToGrid w:val="0"/>
              <w:spacing w:line="440" w:lineRule="exact"/>
              <w:ind w:firstLine="0" w:firstLineChars="0"/>
              <w:rPr>
                <w:rFonts w:asciiTheme="minorEastAsia" w:hAnsiTheme="minorEastAsia" w:eastAsiaTheme="minorEastAsia"/>
                <w:bCs/>
                <w:sz w:val="21"/>
                <w:szCs w:val="21"/>
              </w:rPr>
            </w:pPr>
            <w:r>
              <w:rPr>
                <w:rFonts w:asciiTheme="minorEastAsia" w:hAnsiTheme="minorEastAsia" w:eastAsiaTheme="minorEastAsia"/>
                <w:bCs/>
                <w:sz w:val="21"/>
                <w:szCs w:val="21"/>
              </w:rPr>
              <w:t>B份额的销售机构为</w:t>
            </w:r>
            <w:r>
              <w:rPr>
                <w:rFonts w:hint="eastAsia" w:asciiTheme="minorEastAsia" w:hAnsiTheme="minorEastAsia" w:eastAsiaTheme="minorEastAsia"/>
                <w:bCs/>
                <w:sz w:val="21"/>
                <w:szCs w:val="21"/>
              </w:rPr>
              <w:t>赣州银行股份有限公司；</w:t>
            </w:r>
          </w:p>
          <w:p>
            <w:pPr>
              <w:snapToGrid w:val="0"/>
              <w:spacing w:line="440" w:lineRule="exact"/>
              <w:ind w:firstLine="0" w:firstLineChars="0"/>
              <w:rPr>
                <w:rFonts w:asciiTheme="minorEastAsia" w:hAnsiTheme="minorEastAsia" w:eastAsiaTheme="minorEastAsia"/>
                <w:bCs/>
                <w:sz w:val="21"/>
                <w:szCs w:val="21"/>
              </w:rPr>
            </w:pPr>
            <w:r>
              <w:rPr>
                <w:rFonts w:hint="eastAsia" w:asciiTheme="minorEastAsia" w:hAnsiTheme="minorEastAsia" w:eastAsiaTheme="minorEastAsia"/>
                <w:bCs/>
                <w:sz w:val="21"/>
                <w:szCs w:val="21"/>
              </w:rPr>
              <w:t>C</w:t>
            </w:r>
            <w:r>
              <w:rPr>
                <w:rFonts w:asciiTheme="minorEastAsia" w:hAnsiTheme="minorEastAsia" w:eastAsiaTheme="minorEastAsia"/>
                <w:bCs/>
                <w:sz w:val="21"/>
                <w:szCs w:val="21"/>
              </w:rPr>
              <w:t>份额的销售机构为</w:t>
            </w:r>
            <w:r>
              <w:rPr>
                <w:rFonts w:hint="eastAsia" w:asciiTheme="minorEastAsia" w:hAnsiTheme="minorEastAsia" w:eastAsiaTheme="minorEastAsia"/>
                <w:bCs/>
                <w:sz w:val="21"/>
                <w:szCs w:val="21"/>
              </w:rPr>
              <w:t>湖北银行股份有限公司、中山农村商业银行股份有限公司、浙江南浔农村商业银行股份有限公司；</w:t>
            </w:r>
          </w:p>
          <w:p>
            <w:pPr>
              <w:snapToGrid w:val="0"/>
              <w:spacing w:line="440" w:lineRule="exact"/>
              <w:ind w:firstLine="0" w:firstLineChars="0"/>
              <w:rPr>
                <w:rFonts w:asciiTheme="minorEastAsia" w:hAnsiTheme="minorEastAsia" w:eastAsiaTheme="minorEastAsia"/>
                <w:bCs/>
                <w:sz w:val="21"/>
                <w:szCs w:val="21"/>
              </w:rPr>
            </w:pPr>
            <w:r>
              <w:rPr>
                <w:rFonts w:hint="eastAsia" w:asciiTheme="minorEastAsia" w:hAnsiTheme="minorEastAsia" w:eastAsiaTheme="minorEastAsia"/>
                <w:bCs/>
                <w:sz w:val="21"/>
                <w:szCs w:val="21"/>
              </w:rPr>
              <w:t>D</w:t>
            </w:r>
            <w:r>
              <w:rPr>
                <w:rFonts w:asciiTheme="minorEastAsia" w:hAnsiTheme="minorEastAsia" w:eastAsiaTheme="minorEastAsia"/>
                <w:bCs/>
                <w:sz w:val="21"/>
                <w:szCs w:val="21"/>
              </w:rPr>
              <w:t>份额的销售机构为</w:t>
            </w:r>
            <w:r>
              <w:rPr>
                <w:rFonts w:hint="eastAsia" w:asciiTheme="minorEastAsia" w:hAnsiTheme="minorEastAsia" w:eastAsiaTheme="minorEastAsia"/>
                <w:bCs/>
                <w:sz w:val="21"/>
                <w:szCs w:val="21"/>
              </w:rPr>
              <w:t>武汉</w:t>
            </w:r>
            <w:r>
              <w:rPr>
                <w:rFonts w:asciiTheme="minorEastAsia" w:hAnsiTheme="minorEastAsia" w:eastAsiaTheme="minorEastAsia"/>
                <w:bCs/>
                <w:sz w:val="21"/>
                <w:szCs w:val="21"/>
              </w:rPr>
              <w:t>农村商业银行股份有限公司</w:t>
            </w:r>
            <w:r>
              <w:rPr>
                <w:rFonts w:hint="eastAsia" w:asciiTheme="minorEastAsia" w:hAnsiTheme="minorEastAsia" w:eastAsiaTheme="minorEastAsia"/>
                <w:bCs/>
                <w:sz w:val="21"/>
                <w:szCs w:val="21"/>
              </w:rPr>
              <w:t>；</w:t>
            </w:r>
          </w:p>
          <w:p>
            <w:pPr>
              <w:snapToGrid w:val="0"/>
              <w:spacing w:line="440" w:lineRule="exact"/>
              <w:ind w:firstLine="0" w:firstLineChars="0"/>
              <w:rPr>
                <w:rFonts w:asciiTheme="minorEastAsia" w:hAnsiTheme="minorEastAsia" w:eastAsiaTheme="minorEastAsia"/>
                <w:bCs/>
                <w:sz w:val="21"/>
                <w:szCs w:val="21"/>
              </w:rPr>
            </w:pPr>
            <w:r>
              <w:rPr>
                <w:rFonts w:asciiTheme="minorEastAsia" w:hAnsiTheme="minorEastAsia" w:eastAsiaTheme="minorEastAsia"/>
                <w:bCs/>
                <w:sz w:val="21"/>
                <w:szCs w:val="21"/>
              </w:rPr>
              <w:t>销售（代理销售）机构负责产品销售渠道维护、投资者适当性管理和风险承受能力评估、</w:t>
            </w:r>
            <w:bookmarkStart w:id="15" w:name="_Hlk90486093"/>
            <w:r>
              <w:rPr>
                <w:rFonts w:asciiTheme="minorEastAsia" w:hAnsiTheme="minorEastAsia" w:eastAsiaTheme="minorEastAsia"/>
                <w:bCs/>
                <w:sz w:val="21"/>
                <w:szCs w:val="21"/>
              </w:rPr>
              <w:t>提供产品申购赎回（如有）等服务</w:t>
            </w:r>
            <w:bookmarkEnd w:id="15"/>
            <w:r>
              <w:rPr>
                <w:rFonts w:asciiTheme="minorEastAsia" w:hAnsiTheme="minorEastAsia" w:eastAsiaTheme="minorEastAsia"/>
                <w:bCs/>
                <w:sz w:val="21"/>
                <w:szCs w:val="21"/>
              </w:rPr>
              <w:t>，并协助开展合同签署、信息披露、客户咨询等销售服务。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1771" w:type="dxa"/>
            <w:vAlign w:val="center"/>
          </w:tcPr>
          <w:p>
            <w:pPr>
              <w:snapToGrid w:val="0"/>
              <w:spacing w:line="440" w:lineRule="exact"/>
              <w:ind w:firstLine="0" w:firstLineChars="0"/>
              <w:jc w:val="center"/>
              <w:rPr>
                <w:rFonts w:asciiTheme="minorEastAsia" w:hAnsiTheme="minorEastAsia" w:eastAsiaTheme="minorEastAsia"/>
                <w:bCs/>
                <w:sz w:val="21"/>
                <w:szCs w:val="21"/>
              </w:rPr>
            </w:pPr>
            <w:r>
              <w:rPr>
                <w:rFonts w:asciiTheme="minorEastAsia" w:hAnsiTheme="minorEastAsia" w:eastAsiaTheme="minorEastAsia"/>
                <w:bCs/>
                <w:sz w:val="21"/>
                <w:szCs w:val="21"/>
              </w:rPr>
              <w:t>理财产品托管人</w:t>
            </w:r>
          </w:p>
        </w:tc>
        <w:tc>
          <w:tcPr>
            <w:tcW w:w="6392" w:type="dxa"/>
          </w:tcPr>
          <w:p>
            <w:pPr>
              <w:snapToGrid w:val="0"/>
              <w:spacing w:line="440" w:lineRule="exact"/>
              <w:ind w:firstLine="0" w:firstLineChars="0"/>
              <w:rPr>
                <w:rFonts w:asciiTheme="minorEastAsia" w:hAnsiTheme="minorEastAsia" w:eastAsiaTheme="minorEastAsia"/>
                <w:bCs/>
                <w:sz w:val="21"/>
                <w:szCs w:val="21"/>
              </w:rPr>
            </w:pPr>
            <w:r>
              <w:rPr>
                <w:rFonts w:hint="eastAsia" w:asciiTheme="minorEastAsia" w:hAnsiTheme="minorEastAsia" w:eastAsiaTheme="minorEastAsia"/>
                <w:bCs/>
                <w:sz w:val="21"/>
                <w:szCs w:val="21"/>
              </w:rPr>
              <w:t>宁波</w:t>
            </w:r>
            <w:r>
              <w:rPr>
                <w:rFonts w:asciiTheme="minorEastAsia" w:hAnsiTheme="minorEastAsia" w:eastAsiaTheme="minorEastAsia"/>
                <w:bCs/>
                <w:sz w:val="21"/>
                <w:szCs w:val="21"/>
              </w:rPr>
              <w:t>银行股份有限公司。托管人负责指令处理、资金清算、证券结算、会计核算、资产估值等职责。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87" w:hRule="atLeast"/>
        </w:trPr>
        <w:tc>
          <w:tcPr>
            <w:tcW w:w="1771" w:type="dxa"/>
            <w:vAlign w:val="center"/>
          </w:tcPr>
          <w:p>
            <w:pPr>
              <w:snapToGrid w:val="0"/>
              <w:spacing w:line="440" w:lineRule="exact"/>
              <w:ind w:firstLine="0" w:firstLineChars="0"/>
              <w:jc w:val="center"/>
              <w:rPr>
                <w:rFonts w:asciiTheme="minorEastAsia" w:hAnsiTheme="minorEastAsia" w:eastAsiaTheme="minorEastAsia"/>
                <w:bCs/>
                <w:sz w:val="21"/>
                <w:szCs w:val="21"/>
              </w:rPr>
            </w:pPr>
            <w:r>
              <w:rPr>
                <w:rFonts w:asciiTheme="minorEastAsia" w:hAnsiTheme="minorEastAsia" w:eastAsiaTheme="minorEastAsia"/>
                <w:bCs/>
                <w:sz w:val="21"/>
                <w:szCs w:val="21"/>
              </w:rPr>
              <w:t>投资合作机构</w:t>
            </w:r>
          </w:p>
        </w:tc>
        <w:tc>
          <w:tcPr>
            <w:tcW w:w="6392" w:type="dxa"/>
          </w:tcPr>
          <w:p>
            <w:pPr>
              <w:snapToGrid w:val="0"/>
              <w:spacing w:line="440" w:lineRule="exact"/>
              <w:ind w:firstLine="0" w:firstLineChars="0"/>
              <w:rPr>
                <w:rFonts w:asciiTheme="minorEastAsia" w:hAnsiTheme="minorEastAsia" w:eastAsiaTheme="minorEastAsia"/>
                <w:bCs/>
                <w:sz w:val="21"/>
                <w:szCs w:val="21"/>
              </w:rPr>
            </w:pPr>
            <w:r>
              <w:rPr>
                <w:rFonts w:asciiTheme="minorEastAsia" w:hAnsiTheme="minorEastAsia" w:eastAsiaTheme="minorEastAsia"/>
                <w:bCs/>
                <w:sz w:val="21"/>
                <w:szCs w:val="21"/>
              </w:rPr>
              <w:t>投资合作机构包括但不限于理财产品所投资资产管理产品的发行机构、根据合同约定从事理财产品受托投资的机构以及与理财产品投资管理相关的投资顾问等。投资合作机构主要负责进行受托资金的投资管理，根据合同约定受托投资或者提供投资顾问等服务，具体职责以管理人与投资合作机构签署的合同为准。本产品目前的理财投资合作机构包括但不限于</w:t>
            </w:r>
            <w:r>
              <w:rPr>
                <w:rFonts w:hint="eastAsia" w:asciiTheme="minorEastAsia" w:hAnsiTheme="minorEastAsia" w:eastAsiaTheme="minorEastAsia"/>
                <w:bCs/>
                <w:sz w:val="21"/>
                <w:szCs w:val="21"/>
              </w:rPr>
              <w:t>中国国际金融股份有限公司，广发证券资产管理（广东）有限公司，上海国泰君安证券资产管理有限公司，华西证券股份有限公司，西南证券股份有限公司，中国人保资产管理有限公司，平安资产管理有限责任公司，华润深国投信托有限公司，中国对外经济贸易信托有限公司，</w:t>
            </w:r>
            <w:r>
              <w:rPr>
                <w:rFonts w:asciiTheme="minorEastAsia" w:hAnsiTheme="minorEastAsia" w:eastAsiaTheme="minorEastAsia"/>
                <w:bCs/>
                <w:sz w:val="21"/>
                <w:szCs w:val="21"/>
              </w:rPr>
              <w:t>具体以后续信息披露为准。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1771" w:type="dxa"/>
            <w:vAlign w:val="center"/>
          </w:tcPr>
          <w:p>
            <w:pPr>
              <w:snapToGrid w:val="0"/>
              <w:spacing w:line="440" w:lineRule="exact"/>
              <w:ind w:firstLine="0" w:firstLineChars="0"/>
              <w:jc w:val="center"/>
              <w:rPr>
                <w:rFonts w:asciiTheme="minorEastAsia" w:hAnsiTheme="minorEastAsia" w:eastAsiaTheme="minorEastAsia"/>
                <w:bCs/>
                <w:sz w:val="21"/>
                <w:szCs w:val="21"/>
              </w:rPr>
            </w:pPr>
            <w:r>
              <w:rPr>
                <w:rFonts w:asciiTheme="minorEastAsia" w:hAnsiTheme="minorEastAsia" w:eastAsiaTheme="minorEastAsia"/>
                <w:bCs/>
                <w:sz w:val="21"/>
                <w:szCs w:val="21"/>
              </w:rPr>
              <w:t>提前终止权</w:t>
            </w:r>
          </w:p>
        </w:tc>
        <w:tc>
          <w:tcPr>
            <w:tcW w:w="6392" w:type="dxa"/>
          </w:tcPr>
          <w:p>
            <w:pPr>
              <w:snapToGrid w:val="0"/>
              <w:spacing w:line="440" w:lineRule="exact"/>
              <w:ind w:firstLine="0" w:firstLineChars="0"/>
              <w:rPr>
                <w:rFonts w:asciiTheme="minorEastAsia" w:hAnsiTheme="minorEastAsia" w:eastAsiaTheme="minorEastAsia"/>
                <w:bCs/>
                <w:sz w:val="21"/>
                <w:szCs w:val="21"/>
              </w:rPr>
            </w:pPr>
            <w:r>
              <w:rPr>
                <w:rFonts w:asciiTheme="minorEastAsia" w:hAnsiTheme="minorEastAsia" w:eastAsiaTheme="minorEastAsia"/>
                <w:bCs/>
                <w:sz w:val="21"/>
                <w:szCs w:val="21"/>
              </w:rPr>
              <w:t>投资者无权提前终止该产品；在产品运作期间内，</w:t>
            </w:r>
            <w:r>
              <w:rPr>
                <w:rFonts w:asciiTheme="minorEastAsia" w:hAnsiTheme="minorEastAsia" w:eastAsiaTheme="minorEastAsia"/>
                <w:sz w:val="21"/>
                <w:szCs w:val="21"/>
              </w:rPr>
              <w:t>渝农商理财有限责任公司</w:t>
            </w:r>
            <w:r>
              <w:rPr>
                <w:rFonts w:asciiTheme="minorEastAsia" w:hAnsiTheme="minorEastAsia" w:eastAsiaTheme="minorEastAsia"/>
                <w:bCs/>
                <w:sz w:val="21"/>
                <w:szCs w:val="21"/>
              </w:rPr>
              <w:t>有权视产品运行情况提前终止本理财产品，详细内容见以下“</w:t>
            </w:r>
            <w:r>
              <w:rPr>
                <w:rFonts w:asciiTheme="minorEastAsia" w:hAnsiTheme="minorEastAsia" w:eastAsiaTheme="minorEastAsia"/>
                <w:b/>
                <w:sz w:val="21"/>
                <w:szCs w:val="21"/>
              </w:rPr>
              <w:t>理财产品提前终止</w:t>
            </w:r>
            <w:r>
              <w:rPr>
                <w:rFonts w:asciiTheme="minorEastAsia" w:hAnsiTheme="minorEastAsia" w:eastAsiaTheme="minorEastAsia"/>
                <w:bCs/>
                <w:sz w:val="21"/>
                <w:szCs w:val="21"/>
              </w:rPr>
              <w:t>”条款。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1" w:hRule="atLeast"/>
        </w:trPr>
        <w:tc>
          <w:tcPr>
            <w:tcW w:w="1771" w:type="dxa"/>
            <w:vAlign w:val="center"/>
          </w:tcPr>
          <w:p>
            <w:pPr>
              <w:snapToGrid w:val="0"/>
              <w:spacing w:line="440" w:lineRule="exact"/>
              <w:ind w:firstLine="0" w:firstLineChars="0"/>
              <w:jc w:val="center"/>
              <w:rPr>
                <w:rFonts w:asciiTheme="minorEastAsia" w:hAnsiTheme="minorEastAsia" w:eastAsiaTheme="minorEastAsia"/>
                <w:bCs/>
                <w:sz w:val="21"/>
                <w:szCs w:val="21"/>
              </w:rPr>
            </w:pPr>
            <w:r>
              <w:rPr>
                <w:rFonts w:asciiTheme="minorEastAsia" w:hAnsiTheme="minorEastAsia" w:eastAsiaTheme="minorEastAsia"/>
                <w:bCs/>
                <w:sz w:val="21"/>
                <w:szCs w:val="21"/>
              </w:rPr>
              <w:t>税款</w:t>
            </w:r>
          </w:p>
        </w:tc>
        <w:tc>
          <w:tcPr>
            <w:tcW w:w="6392" w:type="dxa"/>
          </w:tcPr>
          <w:p>
            <w:pPr>
              <w:snapToGrid w:val="0"/>
              <w:spacing w:line="440" w:lineRule="exact"/>
              <w:ind w:firstLine="0" w:firstLineChars="0"/>
              <w:rPr>
                <w:rFonts w:asciiTheme="minorEastAsia" w:hAnsiTheme="minorEastAsia" w:eastAsiaTheme="minorEastAsia"/>
                <w:bCs/>
                <w:sz w:val="21"/>
                <w:szCs w:val="21"/>
              </w:rPr>
            </w:pPr>
            <w:r>
              <w:rPr>
                <w:rFonts w:asciiTheme="minorEastAsia" w:hAnsiTheme="minorEastAsia" w:eastAsiaTheme="minorEastAsia"/>
                <w:sz w:val="21"/>
                <w:szCs w:val="21"/>
              </w:rPr>
              <w:t>本产品运作过程中涉及的各纳税主体的纳税义务按国家税收法律、法规执行。</w:t>
            </w:r>
            <w:r>
              <w:rPr>
                <w:rFonts w:asciiTheme="minorEastAsia" w:hAnsiTheme="minorEastAsia" w:eastAsiaTheme="minorEastAsia"/>
                <w:bCs/>
                <w:sz w:val="21"/>
                <w:szCs w:val="21"/>
              </w:rPr>
              <w:t>理财产品运营过程中产生的相关税费，由理财产品承担，</w:t>
            </w:r>
            <w:r>
              <w:rPr>
                <w:rFonts w:asciiTheme="minorEastAsia" w:hAnsiTheme="minorEastAsia" w:eastAsiaTheme="minorEastAsia"/>
                <w:sz w:val="21"/>
                <w:szCs w:val="21"/>
              </w:rPr>
              <w:t>渝农商理财有限责任公司作为产品管理人以理财资金予以缴纳。</w:t>
            </w:r>
            <w:r>
              <w:rPr>
                <w:rFonts w:asciiTheme="minorEastAsia" w:hAnsiTheme="minorEastAsia" w:eastAsiaTheme="minorEastAsia"/>
                <w:bCs/>
                <w:sz w:val="21"/>
                <w:szCs w:val="21"/>
              </w:rPr>
              <w:t>除法律法规特别要求外，投资者取得理财收益的应纳税款由投资者自行申报及缴纳</w:t>
            </w:r>
            <w:r>
              <w:rPr>
                <w:rFonts w:asciiTheme="minorEastAsia" w:hAnsiTheme="minorEastAsia" w:eastAsiaTheme="minorEastAsia"/>
                <w:sz w:val="21"/>
                <w:szCs w:val="21"/>
              </w:rPr>
              <w:t>，理财产品管理人不承担代扣代缴或纳税的义务。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1771" w:type="dxa"/>
            <w:vAlign w:val="center"/>
          </w:tcPr>
          <w:p>
            <w:pPr>
              <w:snapToGrid w:val="0"/>
              <w:spacing w:line="440" w:lineRule="exact"/>
              <w:ind w:firstLine="0" w:firstLineChars="0"/>
              <w:jc w:val="center"/>
              <w:rPr>
                <w:rFonts w:asciiTheme="minorEastAsia" w:hAnsiTheme="minorEastAsia" w:eastAsiaTheme="minorEastAsia"/>
                <w:bCs/>
                <w:sz w:val="21"/>
                <w:szCs w:val="21"/>
              </w:rPr>
            </w:pPr>
            <w:r>
              <w:rPr>
                <w:rFonts w:asciiTheme="minorEastAsia" w:hAnsiTheme="minorEastAsia" w:eastAsiaTheme="minorEastAsia"/>
                <w:bCs/>
                <w:sz w:val="21"/>
                <w:szCs w:val="21"/>
              </w:rPr>
              <w:t>其他规定</w:t>
            </w:r>
          </w:p>
        </w:tc>
        <w:tc>
          <w:tcPr>
            <w:tcW w:w="6392" w:type="dxa"/>
          </w:tcPr>
          <w:p>
            <w:pPr>
              <w:snapToGrid w:val="0"/>
              <w:spacing w:line="440" w:lineRule="exact"/>
              <w:ind w:firstLine="0" w:firstLineChars="0"/>
              <w:rPr>
                <w:rFonts w:asciiTheme="minorEastAsia" w:hAnsiTheme="minorEastAsia" w:eastAsiaTheme="minorEastAsia"/>
                <w:b/>
                <w:sz w:val="21"/>
                <w:szCs w:val="21"/>
              </w:rPr>
            </w:pPr>
            <w:r>
              <w:rPr>
                <w:rFonts w:asciiTheme="minorEastAsia" w:hAnsiTheme="minorEastAsia" w:eastAsiaTheme="minorEastAsia"/>
                <w:b/>
                <w:sz w:val="21"/>
                <w:szCs w:val="21"/>
              </w:rPr>
              <w:t>产品到期日或提前终止日至资金到账日期间投资者资金不计息。</w:t>
            </w:r>
          </w:p>
        </w:tc>
      </w:tr>
    </w:tbl>
    <w:p>
      <w:pPr>
        <w:snapToGrid w:val="0"/>
        <w:spacing w:line="440" w:lineRule="exact"/>
        <w:ind w:firstLine="422"/>
        <w:outlineLvl w:val="0"/>
        <w:rPr>
          <w:rFonts w:asciiTheme="minorEastAsia" w:hAnsiTheme="minorEastAsia" w:eastAsiaTheme="minorEastAsia"/>
          <w:b/>
          <w:bCs/>
          <w:sz w:val="21"/>
          <w:szCs w:val="21"/>
        </w:rPr>
      </w:pPr>
    </w:p>
    <w:p>
      <w:pPr>
        <w:snapToGrid w:val="0"/>
        <w:spacing w:line="440" w:lineRule="exact"/>
        <w:ind w:firstLine="422"/>
        <w:outlineLvl w:val="0"/>
        <w:rPr>
          <w:rFonts w:asciiTheme="minorEastAsia" w:hAnsiTheme="minorEastAsia" w:eastAsiaTheme="minorEastAsia"/>
          <w:b/>
          <w:bCs/>
          <w:sz w:val="21"/>
          <w:szCs w:val="21"/>
        </w:rPr>
      </w:pPr>
      <w:r>
        <w:rPr>
          <w:rFonts w:hint="eastAsia" w:asciiTheme="minorEastAsia" w:hAnsiTheme="minorEastAsia" w:eastAsiaTheme="minorEastAsia"/>
          <w:b/>
          <w:bCs/>
          <w:sz w:val="21"/>
          <w:szCs w:val="21"/>
        </w:rPr>
        <w:t>二、</w:t>
      </w:r>
      <w:r>
        <w:rPr>
          <w:rFonts w:asciiTheme="minorEastAsia" w:hAnsiTheme="minorEastAsia" w:eastAsiaTheme="minorEastAsia"/>
          <w:b/>
          <w:bCs/>
          <w:sz w:val="21"/>
          <w:szCs w:val="21"/>
        </w:rPr>
        <w:t>投资范围及比例</w:t>
      </w:r>
    </w:p>
    <w:p>
      <w:pPr>
        <w:snapToGrid w:val="0"/>
        <w:spacing w:line="440" w:lineRule="exact"/>
        <w:ind w:firstLine="420"/>
        <w:rPr>
          <w:rFonts w:asciiTheme="minorEastAsia" w:hAnsiTheme="minorEastAsia" w:eastAsiaTheme="minorEastAsia"/>
          <w:bCs/>
          <w:sz w:val="21"/>
          <w:szCs w:val="21"/>
        </w:rPr>
      </w:pPr>
      <w:r>
        <w:rPr>
          <w:rFonts w:asciiTheme="minorEastAsia" w:hAnsiTheme="minorEastAsia" w:eastAsiaTheme="minorEastAsia"/>
          <w:bCs/>
          <w:sz w:val="21"/>
          <w:szCs w:val="21"/>
        </w:rPr>
        <w:t>本理财产品直接或通过证券投资基金、资产管理计划和信托计划等间接投资于符合监管要求的金融资产和金融工具，包括但不限于：现金，银行存款，债券回购，同业存单，在银行间市场和交易所发行及交易的国债、金融债、中央银行票据、公司债券、企业债券、非公开定向债务融资工具、可转换债券、可交换债、短期融资券、中期票据、超短期融资券、资产证券化产品，同业借款，债权融资计划，理财直接融资工具，以及其他符合要求的债权类资产等固定收益类资产。各类资产投资比例范围如下：</w:t>
      </w:r>
    </w:p>
    <w:tbl>
      <w:tblPr>
        <w:tblStyle w:val="20"/>
        <w:tblW w:w="8289" w:type="dxa"/>
        <w:tblInd w:w="0" w:type="dxa"/>
        <w:tblLayout w:type="fixed"/>
        <w:tblCellMar>
          <w:top w:w="0" w:type="dxa"/>
          <w:left w:w="0" w:type="dxa"/>
          <w:bottom w:w="0" w:type="dxa"/>
          <w:right w:w="0" w:type="dxa"/>
        </w:tblCellMar>
      </w:tblPr>
      <w:tblGrid>
        <w:gridCol w:w="5820"/>
        <w:gridCol w:w="2469"/>
      </w:tblGrid>
      <w:tr>
        <w:tblPrEx>
          <w:tblLayout w:type="fixed"/>
          <w:tblCellMar>
            <w:top w:w="0" w:type="dxa"/>
            <w:left w:w="0" w:type="dxa"/>
            <w:bottom w:w="0" w:type="dxa"/>
            <w:right w:w="0" w:type="dxa"/>
          </w:tblCellMar>
        </w:tblPrEx>
        <w:trPr>
          <w:trHeight w:val="663" w:hRule="atLeast"/>
        </w:trPr>
        <w:tc>
          <w:tcPr>
            <w:tcW w:w="5820" w:type="dxa"/>
            <w:tcBorders>
              <w:top w:val="single" w:color="auto" w:sz="4" w:space="0"/>
              <w:left w:val="single" w:color="auto" w:sz="4" w:space="0"/>
              <w:bottom w:val="single" w:color="auto" w:sz="4" w:space="0"/>
              <w:right w:val="single" w:color="auto" w:sz="4" w:space="0"/>
            </w:tcBorders>
          </w:tcPr>
          <w:p>
            <w:pPr>
              <w:pStyle w:val="48"/>
              <w:snapToGrid w:val="0"/>
              <w:spacing w:line="440" w:lineRule="exact"/>
              <w:ind w:left="105"/>
              <w:jc w:val="center"/>
              <w:rPr>
                <w:rFonts w:cs="Times New Roman" w:asciiTheme="minorEastAsia" w:hAnsiTheme="minorEastAsia"/>
                <w:sz w:val="21"/>
                <w:szCs w:val="21"/>
              </w:rPr>
            </w:pPr>
            <w:r>
              <w:rPr>
                <w:rFonts w:cs="Times New Roman" w:asciiTheme="minorEastAsia" w:hAnsiTheme="minorEastAsia"/>
                <w:sz w:val="21"/>
                <w:szCs w:val="21"/>
              </w:rPr>
              <w:t>投资品种</w:t>
            </w:r>
          </w:p>
        </w:tc>
        <w:tc>
          <w:tcPr>
            <w:tcW w:w="2469" w:type="dxa"/>
            <w:tcBorders>
              <w:top w:val="single" w:color="auto" w:sz="4" w:space="0"/>
              <w:left w:val="single" w:color="auto" w:sz="4" w:space="0"/>
              <w:bottom w:val="single" w:color="auto" w:sz="4" w:space="0"/>
              <w:right w:val="single" w:color="auto" w:sz="4" w:space="0"/>
            </w:tcBorders>
          </w:tcPr>
          <w:p>
            <w:pPr>
              <w:pStyle w:val="48"/>
              <w:snapToGrid w:val="0"/>
              <w:spacing w:line="440" w:lineRule="exact"/>
              <w:ind w:left="105" w:right="-5"/>
              <w:jc w:val="center"/>
              <w:rPr>
                <w:rFonts w:cs="Times New Roman" w:asciiTheme="minorEastAsia" w:hAnsiTheme="minorEastAsia"/>
                <w:sz w:val="21"/>
                <w:szCs w:val="21"/>
                <w:lang w:eastAsia="zh-CN"/>
              </w:rPr>
            </w:pPr>
            <w:r>
              <w:rPr>
                <w:rFonts w:cs="Times New Roman" w:asciiTheme="minorEastAsia" w:hAnsiTheme="minorEastAsia"/>
                <w:spacing w:val="-9"/>
                <w:sz w:val="21"/>
                <w:szCs w:val="21"/>
                <w:lang w:eastAsia="zh-CN"/>
              </w:rPr>
              <w:t>投资比例</w:t>
            </w:r>
          </w:p>
        </w:tc>
      </w:tr>
      <w:tr>
        <w:tblPrEx>
          <w:tblLayout w:type="fixed"/>
          <w:tblCellMar>
            <w:top w:w="0" w:type="dxa"/>
            <w:left w:w="0" w:type="dxa"/>
            <w:bottom w:w="0" w:type="dxa"/>
            <w:right w:w="0" w:type="dxa"/>
          </w:tblCellMar>
        </w:tblPrEx>
        <w:trPr>
          <w:trHeight w:val="805" w:hRule="atLeast"/>
        </w:trPr>
        <w:tc>
          <w:tcPr>
            <w:tcW w:w="5820" w:type="dxa"/>
            <w:tcBorders>
              <w:top w:val="single" w:color="auto" w:sz="4" w:space="0"/>
              <w:left w:val="single" w:color="auto" w:sz="4" w:space="0"/>
              <w:bottom w:val="single" w:color="auto" w:sz="4" w:space="0"/>
              <w:right w:val="single" w:color="auto" w:sz="4" w:space="0"/>
            </w:tcBorders>
            <w:vAlign w:val="center"/>
          </w:tcPr>
          <w:p>
            <w:pPr>
              <w:pStyle w:val="48"/>
              <w:snapToGrid w:val="0"/>
              <w:spacing w:line="440" w:lineRule="exact"/>
              <w:ind w:firstLine="420" w:firstLineChars="200"/>
              <w:rPr>
                <w:rFonts w:cs="Times New Roman" w:asciiTheme="minorEastAsia" w:hAnsiTheme="minorEastAsia"/>
                <w:sz w:val="21"/>
                <w:szCs w:val="21"/>
              </w:rPr>
            </w:pPr>
            <w:r>
              <w:rPr>
                <w:rFonts w:cs="Times New Roman" w:asciiTheme="minorEastAsia" w:hAnsiTheme="minorEastAsia"/>
                <w:sz w:val="21"/>
                <w:szCs w:val="21"/>
              </w:rPr>
              <w:t>固定收益类资产</w:t>
            </w:r>
          </w:p>
        </w:tc>
        <w:tc>
          <w:tcPr>
            <w:tcW w:w="2469" w:type="dxa"/>
            <w:tcBorders>
              <w:top w:val="single" w:color="auto" w:sz="4" w:space="0"/>
              <w:left w:val="single" w:color="auto" w:sz="4" w:space="0"/>
              <w:bottom w:val="single" w:color="auto" w:sz="4" w:space="0"/>
              <w:right w:val="single" w:color="auto" w:sz="4" w:space="0"/>
            </w:tcBorders>
            <w:vAlign w:val="center"/>
          </w:tcPr>
          <w:p>
            <w:pPr>
              <w:pStyle w:val="48"/>
              <w:snapToGrid w:val="0"/>
              <w:spacing w:line="440" w:lineRule="exact"/>
              <w:ind w:left="105"/>
              <w:rPr>
                <w:rFonts w:cs="Times New Roman" w:asciiTheme="minorEastAsia" w:hAnsiTheme="minorEastAsia"/>
                <w:sz w:val="21"/>
                <w:szCs w:val="21"/>
              </w:rPr>
            </w:pPr>
            <w:r>
              <w:rPr>
                <w:rFonts w:cs="Times New Roman" w:asciiTheme="minorEastAsia" w:hAnsiTheme="minorEastAsia"/>
                <w:sz w:val="21"/>
                <w:szCs w:val="21"/>
                <w:lang w:eastAsia="zh-CN"/>
              </w:rPr>
              <w:t>100%</w:t>
            </w:r>
          </w:p>
        </w:tc>
      </w:tr>
    </w:tbl>
    <w:p>
      <w:pPr>
        <w:snapToGrid w:val="0"/>
        <w:spacing w:line="440" w:lineRule="exact"/>
        <w:ind w:firstLine="420"/>
        <w:rPr>
          <w:rFonts w:asciiTheme="minorEastAsia" w:hAnsiTheme="minorEastAsia" w:eastAsiaTheme="minorEastAsia"/>
          <w:bCs/>
          <w:sz w:val="21"/>
          <w:szCs w:val="21"/>
        </w:rPr>
      </w:pPr>
      <w:r>
        <w:rPr>
          <w:rFonts w:asciiTheme="minorEastAsia" w:hAnsiTheme="minorEastAsia" w:eastAsiaTheme="minorEastAsia"/>
          <w:bCs/>
          <w:sz w:val="21"/>
          <w:szCs w:val="21"/>
        </w:rPr>
        <w:t>渝农商理财有限责任公司有权根据市场情况调整投资范围、投资资产种类或投资比例，并进行相应披露。</w:t>
      </w:r>
      <w:r>
        <w:rPr>
          <w:rStyle w:val="25"/>
          <w:rFonts w:asciiTheme="minorEastAsia" w:hAnsiTheme="minorEastAsia" w:eastAsiaTheme="minorEastAsia"/>
        </w:rPr>
        <w:t>高风险资产类型超出以上投资比例范围的，将先取得投资者同意。</w:t>
      </w:r>
      <w:r>
        <w:rPr>
          <w:rFonts w:asciiTheme="minorEastAsia" w:hAnsiTheme="minorEastAsia" w:eastAsiaTheme="minorEastAsia"/>
          <w:bCs/>
          <w:sz w:val="21"/>
          <w:szCs w:val="21"/>
        </w:rPr>
        <w:t>非因渝农商理财有限责任公司主观因素导致突破前述比例限制的，渝农商理财有限责任公司将在流动性受限资产可出售、可转让或者恢复交易的15个交易日内调整至符合相关要求</w:t>
      </w:r>
      <w:bookmarkStart w:id="16" w:name="_Hlk154677212"/>
      <w:r>
        <w:rPr>
          <w:rFonts w:asciiTheme="minorEastAsia" w:hAnsiTheme="minorEastAsia" w:eastAsiaTheme="minorEastAsia"/>
          <w:bCs/>
          <w:sz w:val="21"/>
          <w:szCs w:val="21"/>
        </w:rPr>
        <w:t>，法律法规或监管部门另有规定的以其规定为准</w:t>
      </w:r>
      <w:bookmarkEnd w:id="16"/>
      <w:r>
        <w:rPr>
          <w:rFonts w:asciiTheme="minorEastAsia" w:hAnsiTheme="minorEastAsia" w:eastAsiaTheme="minorEastAsia"/>
          <w:bCs/>
          <w:sz w:val="21"/>
          <w:szCs w:val="21"/>
        </w:rPr>
        <w:t>。</w:t>
      </w:r>
    </w:p>
    <w:p>
      <w:pPr>
        <w:snapToGrid w:val="0"/>
        <w:spacing w:line="440" w:lineRule="exact"/>
        <w:ind w:firstLine="422"/>
        <w:rPr>
          <w:rFonts w:asciiTheme="minorEastAsia" w:hAnsiTheme="minorEastAsia" w:eastAsiaTheme="minorEastAsia"/>
          <w:b/>
          <w:sz w:val="21"/>
          <w:szCs w:val="21"/>
        </w:rPr>
      </w:pPr>
      <w:r>
        <w:rPr>
          <w:rFonts w:asciiTheme="minorEastAsia" w:hAnsiTheme="minorEastAsia" w:eastAsiaTheme="minorEastAsia"/>
          <w:b/>
          <w:sz w:val="21"/>
          <w:szCs w:val="21"/>
        </w:rPr>
        <w:t>特别提示：</w:t>
      </w:r>
    </w:p>
    <w:p>
      <w:pPr>
        <w:snapToGrid w:val="0"/>
        <w:spacing w:line="440" w:lineRule="exact"/>
        <w:ind w:firstLine="422"/>
        <w:rPr>
          <w:rFonts w:asciiTheme="minorEastAsia" w:hAnsiTheme="minorEastAsia" w:eastAsiaTheme="minorEastAsia"/>
          <w:b/>
          <w:bCs/>
          <w:sz w:val="21"/>
          <w:szCs w:val="21"/>
        </w:rPr>
      </w:pPr>
      <w:r>
        <w:rPr>
          <w:rFonts w:asciiTheme="minorEastAsia" w:hAnsiTheme="minorEastAsia" w:eastAsiaTheme="minorEastAsia"/>
          <w:b/>
          <w:sz w:val="21"/>
          <w:szCs w:val="21"/>
        </w:rPr>
        <w:t>渝农商理财有限责任公司</w:t>
      </w:r>
      <w:r>
        <w:rPr>
          <w:rFonts w:asciiTheme="minorEastAsia" w:hAnsiTheme="minorEastAsia" w:eastAsiaTheme="minorEastAsia"/>
          <w:b/>
          <w:bCs/>
          <w:sz w:val="21"/>
          <w:szCs w:val="21"/>
        </w:rPr>
        <w:t>将本着诚实信用、谨慎勤勉的原则，在规定的范围内运用理财资金进行投资，本产品投资的资产面临各类市场风险（详见风险揭示书），渝农商理财有限责任公司不保证理财本金的安全及理财收益的实现。</w:t>
      </w:r>
    </w:p>
    <w:p>
      <w:pPr>
        <w:snapToGrid w:val="0"/>
        <w:spacing w:line="440" w:lineRule="exact"/>
        <w:ind w:firstLine="422"/>
        <w:outlineLvl w:val="0"/>
        <w:rPr>
          <w:rFonts w:asciiTheme="minorEastAsia" w:hAnsiTheme="minorEastAsia" w:eastAsiaTheme="minorEastAsia"/>
          <w:b/>
          <w:sz w:val="21"/>
          <w:szCs w:val="21"/>
        </w:rPr>
      </w:pPr>
      <w:r>
        <w:rPr>
          <w:rFonts w:asciiTheme="minorEastAsia" w:hAnsiTheme="minorEastAsia" w:eastAsiaTheme="minorEastAsia"/>
          <w:b/>
          <w:bCs/>
          <w:sz w:val="21"/>
          <w:szCs w:val="21"/>
        </w:rPr>
        <w:t>三、理财产品认购</w:t>
      </w:r>
    </w:p>
    <w:p>
      <w:pPr>
        <w:snapToGrid w:val="0"/>
        <w:spacing w:line="440" w:lineRule="exact"/>
        <w:ind w:firstLine="422"/>
        <w:rPr>
          <w:rFonts w:asciiTheme="minorEastAsia" w:hAnsiTheme="minorEastAsia" w:eastAsiaTheme="minorEastAsia"/>
          <w:b/>
          <w:sz w:val="21"/>
          <w:szCs w:val="21"/>
        </w:rPr>
      </w:pPr>
      <w:r>
        <w:rPr>
          <w:rFonts w:asciiTheme="minorEastAsia" w:hAnsiTheme="minorEastAsia" w:eastAsiaTheme="minorEastAsia"/>
          <w:b/>
          <w:sz w:val="21"/>
          <w:szCs w:val="21"/>
        </w:rPr>
        <w:t>1、认购费率为0％。</w:t>
      </w:r>
    </w:p>
    <w:p>
      <w:pPr>
        <w:snapToGrid w:val="0"/>
        <w:spacing w:line="440" w:lineRule="exact"/>
        <w:ind w:firstLine="420"/>
        <w:rPr>
          <w:rFonts w:asciiTheme="minorEastAsia" w:hAnsiTheme="minorEastAsia" w:eastAsiaTheme="minorEastAsia"/>
          <w:bCs/>
          <w:sz w:val="21"/>
          <w:szCs w:val="21"/>
        </w:rPr>
      </w:pPr>
      <w:r>
        <w:rPr>
          <w:rFonts w:asciiTheme="minorEastAsia" w:hAnsiTheme="minorEastAsia" w:eastAsiaTheme="minorEastAsia"/>
          <w:bCs/>
          <w:sz w:val="21"/>
          <w:szCs w:val="21"/>
        </w:rPr>
        <w:t>2、认购份额＝[认购金额÷（1+认购费率）]÷初始单位净值。认购份额保留至0.01份，小数点后两位以下四舍五入。</w:t>
      </w:r>
    </w:p>
    <w:p>
      <w:pPr>
        <w:snapToGrid w:val="0"/>
        <w:spacing w:line="440" w:lineRule="exact"/>
        <w:ind w:firstLine="422"/>
        <w:rPr>
          <w:rFonts w:asciiTheme="minorEastAsia" w:hAnsiTheme="minorEastAsia" w:eastAsiaTheme="minorEastAsia"/>
          <w:bCs/>
          <w:sz w:val="21"/>
          <w:szCs w:val="21"/>
        </w:rPr>
      </w:pPr>
      <w:r>
        <w:rPr>
          <w:rFonts w:asciiTheme="minorEastAsia" w:hAnsiTheme="minorEastAsia" w:eastAsiaTheme="minorEastAsia"/>
          <w:b/>
          <w:sz w:val="21"/>
          <w:szCs w:val="21"/>
        </w:rPr>
        <w:t>3、认购</w:t>
      </w:r>
      <w:bookmarkStart w:id="17" w:name="_Hlk160202245"/>
      <w:r>
        <w:rPr>
          <w:rFonts w:asciiTheme="minorEastAsia" w:hAnsiTheme="minorEastAsia" w:eastAsiaTheme="minorEastAsia"/>
          <w:b/>
          <w:sz w:val="21"/>
          <w:szCs w:val="21"/>
        </w:rPr>
        <w:t>申请</w:t>
      </w:r>
      <w:bookmarkEnd w:id="17"/>
      <w:r>
        <w:rPr>
          <w:rFonts w:asciiTheme="minorEastAsia" w:hAnsiTheme="minorEastAsia" w:eastAsiaTheme="minorEastAsia"/>
          <w:b/>
          <w:sz w:val="21"/>
          <w:szCs w:val="21"/>
        </w:rPr>
        <w:t>日至产品成立日前一自然日，产品管理人不向投资者计付利息。</w:t>
      </w:r>
      <w:r>
        <w:rPr>
          <w:rFonts w:asciiTheme="minorEastAsia" w:hAnsiTheme="minorEastAsia" w:eastAsiaTheme="minorEastAsia"/>
          <w:bCs/>
          <w:sz w:val="21"/>
          <w:szCs w:val="21"/>
        </w:rPr>
        <w:t>若本产品通过代理销售机构渠道销售的，代理销售机构是否计付利息以代理销售机构为准。</w:t>
      </w:r>
      <w:r>
        <w:rPr>
          <w:rFonts w:asciiTheme="minorEastAsia" w:hAnsiTheme="minorEastAsia" w:eastAsiaTheme="minorEastAsia"/>
          <w:b/>
          <w:sz w:val="21"/>
          <w:szCs w:val="21"/>
        </w:rPr>
        <w:t>产品成立当天资金不计活期利息。如产品不成立，产品认购期结束日至资金到账日之间，投资者资金不计息。</w:t>
      </w:r>
    </w:p>
    <w:p>
      <w:pPr>
        <w:snapToGrid w:val="0"/>
        <w:spacing w:line="440" w:lineRule="exact"/>
        <w:ind w:firstLine="420"/>
        <w:rPr>
          <w:rFonts w:asciiTheme="minorEastAsia" w:hAnsiTheme="minorEastAsia" w:eastAsiaTheme="minorEastAsia"/>
          <w:bCs/>
          <w:sz w:val="21"/>
          <w:szCs w:val="21"/>
        </w:rPr>
      </w:pPr>
      <w:r>
        <w:rPr>
          <w:rFonts w:asciiTheme="minorEastAsia" w:hAnsiTheme="minorEastAsia" w:eastAsiaTheme="minorEastAsia"/>
          <w:bCs/>
          <w:sz w:val="21"/>
          <w:szCs w:val="21"/>
        </w:rPr>
        <w:t>4、认购情况举例：</w:t>
      </w:r>
    </w:p>
    <w:p>
      <w:pPr>
        <w:snapToGrid w:val="0"/>
        <w:spacing w:line="440" w:lineRule="exact"/>
        <w:ind w:firstLine="420"/>
        <w:rPr>
          <w:rFonts w:asciiTheme="minorEastAsia" w:hAnsiTheme="minorEastAsia" w:eastAsiaTheme="minorEastAsia"/>
          <w:bCs/>
          <w:sz w:val="21"/>
          <w:szCs w:val="21"/>
        </w:rPr>
      </w:pPr>
      <w:r>
        <w:rPr>
          <w:rFonts w:asciiTheme="minorEastAsia" w:hAnsiTheme="minorEastAsia" w:eastAsiaTheme="minorEastAsia"/>
          <w:bCs/>
          <w:sz w:val="21"/>
          <w:szCs w:val="21"/>
        </w:rPr>
        <w:t>假定某投资者在募集期投资50,000.00元认购本产品</w:t>
      </w:r>
      <w:bookmarkStart w:id="18" w:name="_Hlk128659724"/>
      <w:r>
        <w:rPr>
          <w:rFonts w:asciiTheme="minorEastAsia" w:hAnsiTheme="minorEastAsia" w:eastAsiaTheme="minorEastAsia"/>
          <w:bCs/>
          <w:sz w:val="21"/>
          <w:szCs w:val="21"/>
        </w:rPr>
        <w:t>A份额</w:t>
      </w:r>
      <w:bookmarkEnd w:id="18"/>
      <w:r>
        <w:rPr>
          <w:rFonts w:asciiTheme="minorEastAsia" w:hAnsiTheme="minorEastAsia" w:eastAsiaTheme="minorEastAsia"/>
          <w:bCs/>
          <w:sz w:val="21"/>
          <w:szCs w:val="21"/>
        </w:rPr>
        <w:t>，则其可得到的认购份额计算如下：</w:t>
      </w:r>
    </w:p>
    <w:p>
      <w:pPr>
        <w:snapToGrid w:val="0"/>
        <w:spacing w:line="440" w:lineRule="exact"/>
        <w:ind w:firstLine="420"/>
        <w:rPr>
          <w:rFonts w:asciiTheme="minorEastAsia" w:hAnsiTheme="minorEastAsia" w:eastAsiaTheme="minorEastAsia"/>
          <w:bCs/>
          <w:sz w:val="21"/>
          <w:szCs w:val="21"/>
        </w:rPr>
      </w:pPr>
      <w:r>
        <w:rPr>
          <w:rFonts w:asciiTheme="minorEastAsia" w:hAnsiTheme="minorEastAsia" w:eastAsiaTheme="minorEastAsia"/>
          <w:bCs/>
          <w:sz w:val="21"/>
          <w:szCs w:val="21"/>
        </w:rPr>
        <w:t>认购份额＝[50,000.00÷（1+0%）]÷1.0000＝50,000.00份。</w:t>
      </w:r>
    </w:p>
    <w:p>
      <w:pPr>
        <w:snapToGrid w:val="0"/>
        <w:spacing w:line="440" w:lineRule="exact"/>
        <w:ind w:firstLine="422"/>
        <w:outlineLvl w:val="0"/>
        <w:rPr>
          <w:rFonts w:asciiTheme="minorEastAsia" w:hAnsiTheme="minorEastAsia" w:eastAsiaTheme="minorEastAsia"/>
          <w:b/>
          <w:bCs/>
          <w:sz w:val="21"/>
          <w:szCs w:val="21"/>
        </w:rPr>
      </w:pPr>
      <w:r>
        <w:rPr>
          <w:rFonts w:asciiTheme="minorEastAsia" w:hAnsiTheme="minorEastAsia" w:eastAsiaTheme="minorEastAsia"/>
          <w:b/>
          <w:bCs/>
          <w:sz w:val="21"/>
          <w:szCs w:val="21"/>
        </w:rPr>
        <w:t xml:space="preserve">四、理财产品提前终止 </w:t>
      </w:r>
    </w:p>
    <w:p>
      <w:pPr>
        <w:snapToGrid w:val="0"/>
        <w:spacing w:line="440" w:lineRule="exact"/>
        <w:ind w:firstLine="420"/>
        <w:rPr>
          <w:rFonts w:asciiTheme="minorEastAsia" w:hAnsiTheme="minorEastAsia" w:eastAsiaTheme="minorEastAsia"/>
          <w:bCs/>
          <w:sz w:val="21"/>
          <w:szCs w:val="21"/>
        </w:rPr>
      </w:pPr>
      <w:r>
        <w:rPr>
          <w:rFonts w:asciiTheme="minorEastAsia" w:hAnsiTheme="minorEastAsia" w:eastAsiaTheme="minorEastAsia"/>
          <w:bCs/>
          <w:sz w:val="21"/>
          <w:szCs w:val="21"/>
        </w:rPr>
        <w:t>在理财产品投资运作期间内，</w:t>
      </w:r>
      <w:r>
        <w:rPr>
          <w:rFonts w:asciiTheme="minorEastAsia" w:hAnsiTheme="minorEastAsia" w:eastAsiaTheme="minorEastAsia"/>
          <w:sz w:val="21"/>
          <w:szCs w:val="21"/>
        </w:rPr>
        <w:t>投资者</w:t>
      </w:r>
      <w:r>
        <w:rPr>
          <w:rFonts w:asciiTheme="minorEastAsia" w:hAnsiTheme="minorEastAsia" w:eastAsiaTheme="minorEastAsia"/>
          <w:bCs/>
          <w:sz w:val="21"/>
          <w:szCs w:val="21"/>
        </w:rPr>
        <w:t>无权要求提前终止该理财产品；当相关政策出现重大调整、市场出现剧烈波动、投资标的提前到期或发生其他</w:t>
      </w:r>
      <w:r>
        <w:rPr>
          <w:rFonts w:asciiTheme="minorEastAsia" w:hAnsiTheme="minorEastAsia" w:eastAsiaTheme="minorEastAsia"/>
          <w:sz w:val="21"/>
          <w:szCs w:val="21"/>
        </w:rPr>
        <w:t>渝农商理财有限责任公司</w:t>
      </w:r>
      <w:r>
        <w:rPr>
          <w:rFonts w:asciiTheme="minorEastAsia" w:hAnsiTheme="minorEastAsia" w:eastAsiaTheme="minorEastAsia"/>
          <w:bCs/>
          <w:sz w:val="21"/>
          <w:szCs w:val="21"/>
        </w:rPr>
        <w:t>认为需要提前终止本理财产品</w:t>
      </w:r>
      <w:bookmarkStart w:id="19" w:name="_Hlk128659748"/>
      <w:r>
        <w:rPr>
          <w:rFonts w:asciiTheme="minorEastAsia" w:hAnsiTheme="minorEastAsia" w:eastAsiaTheme="minorEastAsia"/>
          <w:bCs/>
          <w:sz w:val="21"/>
          <w:szCs w:val="21"/>
        </w:rPr>
        <w:t>或本理财产品某一份额类别</w:t>
      </w:r>
      <w:bookmarkEnd w:id="19"/>
      <w:r>
        <w:rPr>
          <w:rFonts w:asciiTheme="minorEastAsia" w:hAnsiTheme="minorEastAsia" w:eastAsiaTheme="minorEastAsia"/>
          <w:bCs/>
          <w:sz w:val="21"/>
          <w:szCs w:val="21"/>
        </w:rPr>
        <w:t>等情况，</w:t>
      </w:r>
      <w:r>
        <w:rPr>
          <w:rFonts w:asciiTheme="minorEastAsia" w:hAnsiTheme="minorEastAsia" w:eastAsiaTheme="minorEastAsia"/>
          <w:sz w:val="21"/>
          <w:szCs w:val="21"/>
        </w:rPr>
        <w:t>渝农商理财有限责任公司</w:t>
      </w:r>
      <w:r>
        <w:rPr>
          <w:rFonts w:asciiTheme="minorEastAsia" w:hAnsiTheme="minorEastAsia" w:eastAsiaTheme="minorEastAsia"/>
          <w:bCs/>
          <w:sz w:val="21"/>
          <w:szCs w:val="21"/>
        </w:rPr>
        <w:t>有权部分或全部提前终止本理财产品</w:t>
      </w:r>
      <w:bookmarkStart w:id="20" w:name="_Hlk128659765"/>
      <w:r>
        <w:rPr>
          <w:rFonts w:asciiTheme="minorEastAsia" w:hAnsiTheme="minorEastAsia" w:eastAsiaTheme="minorEastAsia"/>
          <w:bCs/>
          <w:sz w:val="21"/>
          <w:szCs w:val="21"/>
        </w:rPr>
        <w:t>或本理财产品某一份额类别</w:t>
      </w:r>
      <w:bookmarkEnd w:id="20"/>
      <w:r>
        <w:rPr>
          <w:rFonts w:asciiTheme="minorEastAsia" w:hAnsiTheme="minorEastAsia" w:eastAsiaTheme="minorEastAsia"/>
          <w:bCs/>
          <w:sz w:val="21"/>
          <w:szCs w:val="21"/>
        </w:rPr>
        <w:t>。如本产品</w:t>
      </w:r>
      <w:bookmarkStart w:id="21" w:name="_Hlk128659772"/>
      <w:r>
        <w:rPr>
          <w:rFonts w:asciiTheme="minorEastAsia" w:hAnsiTheme="minorEastAsia" w:eastAsiaTheme="minorEastAsia"/>
          <w:bCs/>
          <w:sz w:val="21"/>
          <w:szCs w:val="21"/>
        </w:rPr>
        <w:t>或某一份额类别</w:t>
      </w:r>
      <w:bookmarkEnd w:id="21"/>
      <w:r>
        <w:rPr>
          <w:rFonts w:asciiTheme="minorEastAsia" w:hAnsiTheme="minorEastAsia" w:eastAsiaTheme="minorEastAsia"/>
          <w:bCs/>
          <w:sz w:val="21"/>
          <w:szCs w:val="21"/>
        </w:rPr>
        <w:t>提前终止，</w:t>
      </w:r>
      <w:r>
        <w:rPr>
          <w:rFonts w:asciiTheme="minorEastAsia" w:hAnsiTheme="minorEastAsia" w:eastAsiaTheme="minorEastAsia"/>
          <w:sz w:val="21"/>
          <w:szCs w:val="21"/>
        </w:rPr>
        <w:t>渝农商理财有限责任公司</w:t>
      </w:r>
      <w:r>
        <w:rPr>
          <w:rFonts w:asciiTheme="minorEastAsia" w:hAnsiTheme="minorEastAsia" w:eastAsiaTheme="minorEastAsia"/>
          <w:bCs/>
          <w:sz w:val="21"/>
          <w:szCs w:val="21"/>
        </w:rPr>
        <w:t>将在提前终止日前2个工作日，通过</w:t>
      </w:r>
      <w:r>
        <w:fldChar w:fldCharType="begin"/>
      </w:r>
      <w:r>
        <w:instrText xml:space="preserve"> HYPERLINK </w:instrText>
      </w:r>
      <w:r>
        <w:fldChar w:fldCharType="separate"/>
      </w:r>
      <w:r>
        <w:fldChar w:fldCharType="end"/>
      </w:r>
      <w:r>
        <w:rPr>
          <w:rFonts w:asciiTheme="minorEastAsia" w:hAnsiTheme="minorEastAsia" w:eastAsiaTheme="minorEastAsia"/>
          <w:bCs/>
          <w:sz w:val="21"/>
          <w:szCs w:val="21"/>
        </w:rPr>
        <w:t>约定的信息披露渠道发布相关信息，并于提前终止日后2个工作日内将</w:t>
      </w:r>
      <w:r>
        <w:rPr>
          <w:rFonts w:asciiTheme="minorEastAsia" w:hAnsiTheme="minorEastAsia" w:eastAsiaTheme="minorEastAsia"/>
          <w:sz w:val="21"/>
          <w:szCs w:val="21"/>
        </w:rPr>
        <w:t>投资者资金划转至投资者账</w:t>
      </w:r>
      <w:r>
        <w:rPr>
          <w:rFonts w:asciiTheme="minorEastAsia" w:hAnsiTheme="minorEastAsia" w:eastAsiaTheme="minorEastAsia"/>
          <w:bCs/>
          <w:sz w:val="21"/>
          <w:szCs w:val="21"/>
        </w:rPr>
        <w:t>户，若本产品通过代理销售机构渠道销售的，具体到账时间以投资者与代理销售机构的约定为准。</w:t>
      </w:r>
      <w:r>
        <w:rPr>
          <w:rFonts w:asciiTheme="minorEastAsia" w:hAnsiTheme="minorEastAsia" w:eastAsiaTheme="minorEastAsia"/>
          <w:b/>
          <w:sz w:val="21"/>
          <w:szCs w:val="21"/>
        </w:rPr>
        <w:t>提前终止日至资金到账日之间，投资者资金不计息。</w:t>
      </w:r>
    </w:p>
    <w:p>
      <w:pPr>
        <w:snapToGrid w:val="0"/>
        <w:spacing w:line="440" w:lineRule="exact"/>
        <w:ind w:firstLine="422"/>
        <w:rPr>
          <w:rFonts w:asciiTheme="minorEastAsia" w:hAnsiTheme="minorEastAsia" w:eastAsiaTheme="minorEastAsia"/>
          <w:b/>
          <w:bCs/>
          <w:sz w:val="21"/>
          <w:szCs w:val="21"/>
        </w:rPr>
      </w:pPr>
      <w:r>
        <w:rPr>
          <w:rFonts w:asciiTheme="minorEastAsia" w:hAnsiTheme="minorEastAsia" w:eastAsiaTheme="minorEastAsia"/>
          <w:b/>
          <w:bCs/>
          <w:sz w:val="21"/>
          <w:szCs w:val="21"/>
        </w:rPr>
        <w:t>五、理财产品收益计算</w:t>
      </w:r>
    </w:p>
    <w:p>
      <w:pPr>
        <w:snapToGrid w:val="0"/>
        <w:spacing w:line="440" w:lineRule="exact"/>
        <w:ind w:firstLine="420"/>
        <w:outlineLvl w:val="0"/>
        <w:rPr>
          <w:rFonts w:asciiTheme="minorEastAsia" w:hAnsiTheme="minorEastAsia" w:eastAsiaTheme="minorEastAsia"/>
          <w:bCs/>
          <w:sz w:val="21"/>
          <w:szCs w:val="21"/>
        </w:rPr>
      </w:pPr>
      <w:r>
        <w:rPr>
          <w:rFonts w:asciiTheme="minorEastAsia" w:hAnsiTheme="minorEastAsia" w:eastAsiaTheme="minorEastAsia"/>
          <w:bCs/>
          <w:sz w:val="21"/>
          <w:szCs w:val="21"/>
        </w:rPr>
        <w:t>（一）产品净值</w:t>
      </w:r>
    </w:p>
    <w:p>
      <w:pPr>
        <w:snapToGrid w:val="0"/>
        <w:spacing w:line="440" w:lineRule="exact"/>
        <w:ind w:firstLine="420"/>
        <w:rPr>
          <w:rFonts w:asciiTheme="minorEastAsia" w:hAnsiTheme="minorEastAsia" w:eastAsiaTheme="minorEastAsia"/>
          <w:bCs/>
          <w:sz w:val="21"/>
          <w:szCs w:val="21"/>
        </w:rPr>
      </w:pPr>
      <w:r>
        <w:rPr>
          <w:rFonts w:asciiTheme="minorEastAsia" w:hAnsiTheme="minorEastAsia" w:eastAsiaTheme="minorEastAsia"/>
          <w:bCs/>
          <w:sz w:val="21"/>
          <w:szCs w:val="21"/>
        </w:rPr>
        <w:t>1、理财产品</w:t>
      </w:r>
      <w:bookmarkStart w:id="22" w:name="_Hlk153379766"/>
      <w:r>
        <w:rPr>
          <w:rFonts w:asciiTheme="minorEastAsia" w:hAnsiTheme="minorEastAsia" w:eastAsiaTheme="minorEastAsia"/>
          <w:bCs/>
          <w:sz w:val="21"/>
          <w:szCs w:val="21"/>
        </w:rPr>
        <w:t>资产净值/</w:t>
      </w:r>
      <w:bookmarkEnd w:id="22"/>
      <w:r>
        <w:rPr>
          <w:rFonts w:asciiTheme="minorEastAsia" w:hAnsiTheme="minorEastAsia" w:eastAsiaTheme="minorEastAsia"/>
          <w:bCs/>
          <w:sz w:val="21"/>
          <w:szCs w:val="21"/>
        </w:rPr>
        <w:t>总净值= 理财产品认购总金额+理财产品所获总收益-理财产品总费用（包括但不限于销售服务费、托管费和固定管理费等）-理财产品累计终止和分红总金额。</w:t>
      </w:r>
    </w:p>
    <w:p>
      <w:pPr>
        <w:snapToGrid w:val="0"/>
        <w:spacing w:line="440" w:lineRule="exact"/>
        <w:ind w:firstLine="420"/>
        <w:rPr>
          <w:rFonts w:asciiTheme="minorEastAsia" w:hAnsiTheme="minorEastAsia" w:eastAsiaTheme="minorEastAsia"/>
          <w:bCs/>
          <w:sz w:val="21"/>
          <w:szCs w:val="21"/>
        </w:rPr>
      </w:pPr>
      <w:bookmarkStart w:id="23" w:name="_Hlk153268173"/>
      <w:r>
        <w:rPr>
          <w:rFonts w:asciiTheme="minorEastAsia" w:hAnsiTheme="minorEastAsia" w:eastAsiaTheme="minorEastAsia"/>
          <w:bCs/>
          <w:sz w:val="21"/>
          <w:szCs w:val="21"/>
        </w:rPr>
        <w:t>理财产品某份额类别资产净值/总净值=理财产品某份额类别认购总金额+理财产品某份额类别所获总收益-理财产品某份额类别总费用（包括但不限于销售服务费、托管费和固定管理费等）-理财产品某份额类别累计终止和分红总金额。</w:t>
      </w:r>
      <w:bookmarkEnd w:id="23"/>
    </w:p>
    <w:p>
      <w:pPr>
        <w:snapToGrid w:val="0"/>
        <w:spacing w:line="440" w:lineRule="exact"/>
        <w:ind w:firstLine="420"/>
        <w:rPr>
          <w:rFonts w:asciiTheme="minorEastAsia" w:hAnsiTheme="minorEastAsia" w:eastAsiaTheme="minorEastAsia"/>
          <w:bCs/>
          <w:sz w:val="21"/>
          <w:szCs w:val="21"/>
        </w:rPr>
      </w:pPr>
      <w:r>
        <w:rPr>
          <w:rFonts w:asciiTheme="minorEastAsia" w:hAnsiTheme="minorEastAsia" w:eastAsiaTheme="minorEastAsia"/>
          <w:bCs/>
          <w:sz w:val="21"/>
          <w:szCs w:val="21"/>
        </w:rPr>
        <w:t>2、理财产品单位净值/份额净值=理财产品总净值÷理财产品总存续份额。单位净值保留至小数点后四位（小数点四位以下舍位）。</w:t>
      </w:r>
    </w:p>
    <w:p>
      <w:pPr>
        <w:snapToGrid w:val="0"/>
        <w:spacing w:line="440" w:lineRule="exact"/>
        <w:ind w:firstLine="420"/>
        <w:rPr>
          <w:rFonts w:asciiTheme="minorEastAsia" w:hAnsiTheme="minorEastAsia" w:eastAsiaTheme="minorEastAsia"/>
          <w:bCs/>
          <w:sz w:val="21"/>
          <w:szCs w:val="21"/>
        </w:rPr>
      </w:pPr>
      <w:bookmarkStart w:id="24" w:name="_Hlk153380244"/>
      <w:bookmarkStart w:id="25" w:name="_Hlk153268219"/>
      <w:r>
        <w:rPr>
          <w:rFonts w:asciiTheme="minorEastAsia" w:hAnsiTheme="minorEastAsia" w:eastAsiaTheme="minorEastAsia"/>
          <w:bCs/>
          <w:sz w:val="21"/>
          <w:szCs w:val="21"/>
        </w:rPr>
        <w:t>理财产品某份额类别单位净值/份额净值=理财产品该份额类别总净值÷理财产品该份额类别总存续份额。单位净值保留至小数点后四位（小数点四位以下舍位）。</w:t>
      </w:r>
    </w:p>
    <w:bookmarkEnd w:id="24"/>
    <w:p>
      <w:pPr>
        <w:snapToGrid w:val="0"/>
        <w:spacing w:line="440" w:lineRule="exact"/>
        <w:ind w:firstLine="420"/>
        <w:rPr>
          <w:rFonts w:asciiTheme="minorEastAsia" w:hAnsiTheme="minorEastAsia" w:eastAsiaTheme="minorEastAsia"/>
          <w:bCs/>
          <w:sz w:val="21"/>
          <w:szCs w:val="21"/>
        </w:rPr>
      </w:pPr>
      <w:bookmarkStart w:id="26" w:name="_Hlk153380147"/>
      <w:r>
        <w:rPr>
          <w:rFonts w:asciiTheme="minorEastAsia" w:hAnsiTheme="minorEastAsia" w:eastAsiaTheme="minorEastAsia"/>
          <w:bCs/>
          <w:sz w:val="21"/>
          <w:szCs w:val="21"/>
        </w:rPr>
        <w:t>3、理财产品累计单位净值/份额累计净值=理财产品单位净值+历次累计单位分红。累计</w:t>
      </w:r>
      <w:bookmarkStart w:id="27" w:name="_Hlk153376937"/>
      <w:r>
        <w:rPr>
          <w:rFonts w:asciiTheme="minorEastAsia" w:hAnsiTheme="minorEastAsia" w:eastAsiaTheme="minorEastAsia"/>
          <w:bCs/>
          <w:sz w:val="21"/>
          <w:szCs w:val="21"/>
        </w:rPr>
        <w:t>单位</w:t>
      </w:r>
      <w:bookmarkEnd w:id="27"/>
      <w:r>
        <w:rPr>
          <w:rFonts w:asciiTheme="minorEastAsia" w:hAnsiTheme="minorEastAsia" w:eastAsiaTheme="minorEastAsia"/>
          <w:bCs/>
          <w:sz w:val="21"/>
          <w:szCs w:val="21"/>
        </w:rPr>
        <w:t>净值保留至小数点后四位（小数点四位以下舍位）。</w:t>
      </w:r>
    </w:p>
    <w:p>
      <w:pPr>
        <w:snapToGrid w:val="0"/>
        <w:spacing w:line="440" w:lineRule="exact"/>
        <w:ind w:firstLine="420"/>
        <w:rPr>
          <w:rFonts w:asciiTheme="minorEastAsia" w:hAnsiTheme="minorEastAsia" w:eastAsiaTheme="minorEastAsia"/>
          <w:bCs/>
          <w:sz w:val="21"/>
          <w:szCs w:val="21"/>
        </w:rPr>
      </w:pPr>
      <w:bookmarkStart w:id="28" w:name="_Hlk153281969"/>
      <w:r>
        <w:rPr>
          <w:rFonts w:asciiTheme="minorEastAsia" w:hAnsiTheme="minorEastAsia" w:eastAsiaTheme="minorEastAsia"/>
          <w:bCs/>
          <w:sz w:val="21"/>
          <w:szCs w:val="21"/>
        </w:rPr>
        <w:t>理财产品某份额类别累计单位净值/份额累计净值=理财产品该份额类别单位净值+该份额类别历次累计单位分红。累计单位净值保留至小数点后四位（小数点四位以下舍位）。</w:t>
      </w:r>
      <w:bookmarkEnd w:id="28"/>
    </w:p>
    <w:bookmarkEnd w:id="25"/>
    <w:bookmarkEnd w:id="26"/>
    <w:p>
      <w:pPr>
        <w:snapToGrid w:val="0"/>
        <w:spacing w:line="440" w:lineRule="exact"/>
        <w:ind w:firstLine="422"/>
        <w:outlineLvl w:val="0"/>
        <w:rPr>
          <w:rFonts w:asciiTheme="minorEastAsia" w:hAnsiTheme="minorEastAsia" w:eastAsiaTheme="minorEastAsia"/>
          <w:b/>
          <w:sz w:val="21"/>
          <w:szCs w:val="21"/>
        </w:rPr>
      </w:pPr>
      <w:r>
        <w:rPr>
          <w:rFonts w:asciiTheme="minorEastAsia" w:hAnsiTheme="minorEastAsia" w:eastAsiaTheme="minorEastAsia"/>
          <w:b/>
          <w:sz w:val="21"/>
          <w:szCs w:val="21"/>
        </w:rPr>
        <w:t>（二）产品费用</w:t>
      </w:r>
    </w:p>
    <w:p>
      <w:pPr>
        <w:snapToGrid w:val="0"/>
        <w:spacing w:line="440" w:lineRule="exact"/>
        <w:ind w:firstLine="422"/>
        <w:rPr>
          <w:rFonts w:asciiTheme="minorEastAsia" w:hAnsiTheme="minorEastAsia" w:eastAsiaTheme="minorEastAsia"/>
          <w:b/>
          <w:sz w:val="21"/>
          <w:szCs w:val="21"/>
        </w:rPr>
      </w:pPr>
      <w:r>
        <w:rPr>
          <w:rFonts w:asciiTheme="minorEastAsia" w:hAnsiTheme="minorEastAsia" w:eastAsiaTheme="minorEastAsia"/>
          <w:b/>
          <w:sz w:val="21"/>
          <w:szCs w:val="21"/>
        </w:rPr>
        <w:t>1、</w:t>
      </w:r>
      <w:bookmarkStart w:id="29" w:name="_Hlk128659839"/>
      <w:r>
        <w:rPr>
          <w:rFonts w:asciiTheme="minorEastAsia" w:hAnsiTheme="minorEastAsia" w:eastAsiaTheme="minorEastAsia"/>
          <w:b/>
          <w:sz w:val="21"/>
          <w:szCs w:val="21"/>
        </w:rPr>
        <w:t>本产品收取销售服务费、固定管理费和托管费，各费用自产品成立日起每日计提。具体计提方式如下：</w:t>
      </w:r>
    </w:p>
    <w:p>
      <w:pPr>
        <w:snapToGrid w:val="0"/>
        <w:spacing w:line="440" w:lineRule="exact"/>
        <w:ind w:firstLine="422"/>
        <w:rPr>
          <w:rFonts w:asciiTheme="minorEastAsia" w:hAnsiTheme="minorEastAsia" w:eastAsiaTheme="minorEastAsia"/>
          <w:b/>
          <w:sz w:val="21"/>
          <w:szCs w:val="21"/>
        </w:rPr>
      </w:pPr>
      <w:r>
        <w:rPr>
          <w:rFonts w:asciiTheme="minorEastAsia" w:hAnsiTheme="minorEastAsia" w:eastAsiaTheme="minorEastAsia"/>
          <w:b/>
          <w:sz w:val="21"/>
          <w:szCs w:val="21"/>
        </w:rPr>
        <w:t>（1）销售服务费：A份额为0.</w:t>
      </w:r>
      <w:r>
        <w:rPr>
          <w:rFonts w:hint="eastAsia" w:asciiTheme="minorEastAsia" w:hAnsiTheme="minorEastAsia" w:eastAsiaTheme="minorEastAsia"/>
          <w:b/>
          <w:sz w:val="21"/>
          <w:szCs w:val="21"/>
        </w:rPr>
        <w:t>15</w:t>
      </w:r>
      <w:r>
        <w:rPr>
          <w:rFonts w:asciiTheme="minorEastAsia" w:hAnsiTheme="minorEastAsia" w:eastAsiaTheme="minorEastAsia"/>
          <w:b/>
          <w:sz w:val="21"/>
          <w:szCs w:val="21"/>
        </w:rPr>
        <w:t>%，B份额为0.</w:t>
      </w:r>
      <w:r>
        <w:rPr>
          <w:rFonts w:hint="eastAsia" w:asciiTheme="minorEastAsia" w:hAnsiTheme="minorEastAsia" w:eastAsiaTheme="minorEastAsia"/>
          <w:b/>
          <w:sz w:val="21"/>
          <w:szCs w:val="21"/>
        </w:rPr>
        <w:t>3</w:t>
      </w:r>
      <w:r>
        <w:rPr>
          <w:rFonts w:asciiTheme="minorEastAsia" w:hAnsiTheme="minorEastAsia" w:eastAsiaTheme="minorEastAsia"/>
          <w:b/>
          <w:sz w:val="21"/>
          <w:szCs w:val="21"/>
        </w:rPr>
        <w:t>0%，</w:t>
      </w:r>
      <w:r>
        <w:rPr>
          <w:rFonts w:hint="eastAsia" w:asciiTheme="minorEastAsia" w:hAnsiTheme="minorEastAsia" w:eastAsiaTheme="minorEastAsia"/>
          <w:b/>
          <w:sz w:val="21"/>
          <w:szCs w:val="21"/>
        </w:rPr>
        <w:t>C</w:t>
      </w:r>
      <w:r>
        <w:rPr>
          <w:rFonts w:asciiTheme="minorEastAsia" w:hAnsiTheme="minorEastAsia" w:eastAsiaTheme="minorEastAsia"/>
          <w:b/>
          <w:sz w:val="21"/>
          <w:szCs w:val="21"/>
        </w:rPr>
        <w:t>份额为0.</w:t>
      </w:r>
      <w:r>
        <w:rPr>
          <w:rFonts w:hint="eastAsia" w:asciiTheme="minorEastAsia" w:hAnsiTheme="minorEastAsia" w:eastAsiaTheme="minorEastAsia"/>
          <w:b/>
          <w:sz w:val="21"/>
          <w:szCs w:val="21"/>
        </w:rPr>
        <w:t>10</w:t>
      </w:r>
      <w:r>
        <w:rPr>
          <w:rFonts w:asciiTheme="minorEastAsia" w:hAnsiTheme="minorEastAsia" w:eastAsiaTheme="minorEastAsia"/>
          <w:b/>
          <w:sz w:val="21"/>
          <w:szCs w:val="21"/>
        </w:rPr>
        <w:t>%，</w:t>
      </w:r>
      <w:r>
        <w:rPr>
          <w:rFonts w:hint="eastAsia" w:asciiTheme="minorEastAsia" w:hAnsiTheme="minorEastAsia" w:eastAsiaTheme="minorEastAsia"/>
          <w:b/>
          <w:sz w:val="21"/>
          <w:szCs w:val="21"/>
        </w:rPr>
        <w:t>D</w:t>
      </w:r>
      <w:r>
        <w:rPr>
          <w:rFonts w:asciiTheme="minorEastAsia" w:hAnsiTheme="minorEastAsia" w:eastAsiaTheme="minorEastAsia"/>
          <w:b/>
          <w:sz w:val="21"/>
          <w:szCs w:val="21"/>
        </w:rPr>
        <w:t>份额为0.</w:t>
      </w:r>
      <w:r>
        <w:rPr>
          <w:rFonts w:hint="eastAsia" w:asciiTheme="minorEastAsia" w:hAnsiTheme="minorEastAsia" w:eastAsiaTheme="minorEastAsia"/>
          <w:b/>
          <w:sz w:val="21"/>
          <w:szCs w:val="21"/>
        </w:rPr>
        <w:t>10</w:t>
      </w:r>
      <w:r>
        <w:rPr>
          <w:rFonts w:asciiTheme="minorEastAsia" w:hAnsiTheme="minorEastAsia" w:eastAsiaTheme="minorEastAsia"/>
          <w:b/>
          <w:sz w:val="21"/>
          <w:szCs w:val="21"/>
        </w:rPr>
        <w:t>%，各费用率均为年化数值。以A份额为例，A份额每日应计提的销售服务费=A份额前一自然日资产净值×0.1</w:t>
      </w:r>
      <w:r>
        <w:rPr>
          <w:rFonts w:hint="eastAsia" w:asciiTheme="minorEastAsia" w:hAnsiTheme="minorEastAsia" w:eastAsiaTheme="minorEastAsia"/>
          <w:b/>
          <w:sz w:val="21"/>
          <w:szCs w:val="21"/>
        </w:rPr>
        <w:t>5</w:t>
      </w:r>
      <w:r>
        <w:rPr>
          <w:rFonts w:asciiTheme="minorEastAsia" w:hAnsiTheme="minorEastAsia" w:eastAsiaTheme="minorEastAsia"/>
          <w:b/>
          <w:sz w:val="21"/>
          <w:szCs w:val="21"/>
        </w:rPr>
        <w:t>%÷365。</w:t>
      </w:r>
    </w:p>
    <w:p>
      <w:pPr>
        <w:snapToGrid w:val="0"/>
        <w:spacing w:line="440" w:lineRule="exact"/>
        <w:ind w:firstLine="422"/>
        <w:rPr>
          <w:rFonts w:asciiTheme="minorEastAsia" w:hAnsiTheme="minorEastAsia" w:eastAsiaTheme="minorEastAsia"/>
          <w:b/>
          <w:sz w:val="21"/>
          <w:szCs w:val="21"/>
        </w:rPr>
      </w:pPr>
      <w:r>
        <w:rPr>
          <w:rFonts w:asciiTheme="minorEastAsia" w:hAnsiTheme="minorEastAsia" w:eastAsiaTheme="minorEastAsia"/>
          <w:b/>
          <w:sz w:val="21"/>
          <w:szCs w:val="21"/>
        </w:rPr>
        <w:t>（2）固定管理费：A份额为0.</w:t>
      </w:r>
      <w:r>
        <w:rPr>
          <w:rFonts w:hint="eastAsia" w:asciiTheme="minorEastAsia" w:hAnsiTheme="minorEastAsia" w:eastAsiaTheme="minorEastAsia"/>
          <w:b/>
          <w:sz w:val="21"/>
          <w:szCs w:val="21"/>
        </w:rPr>
        <w:t>05</w:t>
      </w:r>
      <w:r>
        <w:rPr>
          <w:rFonts w:asciiTheme="minorEastAsia" w:hAnsiTheme="minorEastAsia" w:eastAsiaTheme="minorEastAsia"/>
          <w:b/>
          <w:sz w:val="21"/>
          <w:szCs w:val="21"/>
        </w:rPr>
        <w:t>%，B份额为0.05%，</w:t>
      </w:r>
      <w:r>
        <w:rPr>
          <w:rFonts w:hint="eastAsia" w:asciiTheme="minorEastAsia" w:hAnsiTheme="minorEastAsia" w:eastAsiaTheme="minorEastAsia"/>
          <w:b/>
          <w:sz w:val="21"/>
          <w:szCs w:val="21"/>
        </w:rPr>
        <w:t>C</w:t>
      </w:r>
      <w:r>
        <w:rPr>
          <w:rFonts w:asciiTheme="minorEastAsia" w:hAnsiTheme="minorEastAsia" w:eastAsiaTheme="minorEastAsia"/>
          <w:b/>
          <w:sz w:val="21"/>
          <w:szCs w:val="21"/>
        </w:rPr>
        <w:t>份额为0.05%，</w:t>
      </w:r>
      <w:r>
        <w:rPr>
          <w:rFonts w:hint="eastAsia" w:asciiTheme="minorEastAsia" w:hAnsiTheme="minorEastAsia" w:eastAsiaTheme="minorEastAsia"/>
          <w:b/>
          <w:sz w:val="21"/>
          <w:szCs w:val="21"/>
        </w:rPr>
        <w:t>D</w:t>
      </w:r>
      <w:r>
        <w:rPr>
          <w:rFonts w:asciiTheme="minorEastAsia" w:hAnsiTheme="minorEastAsia" w:eastAsiaTheme="minorEastAsia"/>
          <w:b/>
          <w:sz w:val="21"/>
          <w:szCs w:val="21"/>
        </w:rPr>
        <w:t>份额为0.05%，各费用率均为年化数值。以A份额为例，A份额每日应计提的固定管理费=A份额前一自然日资产净值×0.</w:t>
      </w:r>
      <w:r>
        <w:rPr>
          <w:rFonts w:hint="eastAsia" w:asciiTheme="minorEastAsia" w:hAnsiTheme="minorEastAsia" w:eastAsiaTheme="minorEastAsia"/>
          <w:b/>
          <w:sz w:val="21"/>
          <w:szCs w:val="21"/>
        </w:rPr>
        <w:t>05</w:t>
      </w:r>
      <w:r>
        <w:rPr>
          <w:rFonts w:asciiTheme="minorEastAsia" w:hAnsiTheme="minorEastAsia" w:eastAsiaTheme="minorEastAsia"/>
          <w:b/>
          <w:sz w:val="21"/>
          <w:szCs w:val="21"/>
        </w:rPr>
        <w:t>%÷365。</w:t>
      </w:r>
    </w:p>
    <w:p>
      <w:pPr>
        <w:snapToGrid w:val="0"/>
        <w:spacing w:line="440" w:lineRule="exact"/>
        <w:ind w:firstLine="422"/>
        <w:rPr>
          <w:rFonts w:asciiTheme="minorEastAsia" w:hAnsiTheme="minorEastAsia" w:eastAsiaTheme="minorEastAsia"/>
          <w:b/>
          <w:sz w:val="21"/>
          <w:szCs w:val="21"/>
        </w:rPr>
      </w:pPr>
      <w:r>
        <w:rPr>
          <w:rFonts w:asciiTheme="minorEastAsia" w:hAnsiTheme="minorEastAsia" w:eastAsiaTheme="minorEastAsia"/>
          <w:b/>
          <w:sz w:val="21"/>
          <w:szCs w:val="21"/>
        </w:rPr>
        <w:t>（3）托管费：0.007%，该</w:t>
      </w:r>
      <w:bookmarkStart w:id="30" w:name="_Hlk153268556"/>
      <w:r>
        <w:rPr>
          <w:rFonts w:asciiTheme="minorEastAsia" w:hAnsiTheme="minorEastAsia" w:eastAsiaTheme="minorEastAsia"/>
          <w:b/>
          <w:sz w:val="21"/>
          <w:szCs w:val="21"/>
        </w:rPr>
        <w:t>费用率为年化数值。每日应计提的托管费=理财产品前一自然日资产净值×0.007%÷365。</w:t>
      </w:r>
    </w:p>
    <w:bookmarkEnd w:id="29"/>
    <w:p>
      <w:pPr>
        <w:snapToGrid w:val="0"/>
        <w:spacing w:line="440" w:lineRule="exact"/>
        <w:ind w:firstLine="422"/>
        <w:rPr>
          <w:rFonts w:asciiTheme="minorEastAsia" w:hAnsiTheme="minorEastAsia" w:eastAsiaTheme="minorEastAsia"/>
          <w:b/>
          <w:sz w:val="21"/>
          <w:szCs w:val="21"/>
        </w:rPr>
      </w:pPr>
      <w:r>
        <w:rPr>
          <w:rFonts w:asciiTheme="minorEastAsia" w:hAnsiTheme="minorEastAsia" w:eastAsiaTheme="minorEastAsia"/>
          <w:b/>
          <w:sz w:val="21"/>
          <w:szCs w:val="21"/>
        </w:rPr>
        <w:t>2、</w:t>
      </w:r>
      <w:bookmarkEnd w:id="30"/>
      <w:bookmarkStart w:id="31" w:name="_Hlk128658429"/>
      <w:r>
        <w:rPr>
          <w:rFonts w:asciiTheme="minorEastAsia" w:hAnsiTheme="minorEastAsia" w:eastAsiaTheme="minorEastAsia"/>
          <w:b/>
          <w:sz w:val="21"/>
          <w:szCs w:val="21"/>
        </w:rPr>
        <w:t>本产品收取浮动管理费，</w:t>
      </w:r>
      <w:bookmarkStart w:id="32" w:name="_Hlk153268602"/>
      <w:bookmarkStart w:id="33" w:name="_Hlk152881332"/>
      <w:r>
        <w:rPr>
          <w:rFonts w:asciiTheme="minorEastAsia" w:hAnsiTheme="minorEastAsia" w:eastAsiaTheme="minorEastAsia"/>
          <w:b/>
          <w:sz w:val="21"/>
          <w:szCs w:val="21"/>
        </w:rPr>
        <w:t>假设A份额、B份额</w:t>
      </w:r>
      <w:r>
        <w:rPr>
          <w:rFonts w:hint="eastAsia" w:asciiTheme="minorEastAsia" w:hAnsiTheme="minorEastAsia" w:eastAsiaTheme="minorEastAsia"/>
          <w:b/>
          <w:sz w:val="21"/>
          <w:szCs w:val="21"/>
        </w:rPr>
        <w:t>、C</w:t>
      </w:r>
      <w:r>
        <w:rPr>
          <w:rFonts w:asciiTheme="minorEastAsia" w:hAnsiTheme="minorEastAsia" w:eastAsiaTheme="minorEastAsia"/>
          <w:b/>
          <w:sz w:val="21"/>
          <w:szCs w:val="21"/>
        </w:rPr>
        <w:t>份额</w:t>
      </w:r>
      <w:r>
        <w:rPr>
          <w:rFonts w:hint="eastAsia" w:asciiTheme="minorEastAsia" w:hAnsiTheme="minorEastAsia" w:eastAsiaTheme="minorEastAsia"/>
          <w:b/>
          <w:sz w:val="21"/>
          <w:szCs w:val="21"/>
        </w:rPr>
        <w:t>、D</w:t>
      </w:r>
      <w:r>
        <w:rPr>
          <w:rFonts w:asciiTheme="minorEastAsia" w:hAnsiTheme="minorEastAsia" w:eastAsiaTheme="minorEastAsia"/>
          <w:b/>
          <w:sz w:val="21"/>
          <w:szCs w:val="21"/>
        </w:rPr>
        <w:t>份额折算的产品份额类别年化收益率分别为R</w:t>
      </w:r>
      <w:r>
        <w:rPr>
          <w:rFonts w:asciiTheme="minorEastAsia" w:hAnsiTheme="minorEastAsia" w:eastAsiaTheme="minorEastAsia"/>
          <w:b/>
          <w:sz w:val="21"/>
          <w:szCs w:val="21"/>
          <w:vertAlign w:val="subscript"/>
        </w:rPr>
        <w:t>A</w:t>
      </w:r>
      <w:r>
        <w:rPr>
          <w:rFonts w:asciiTheme="minorEastAsia" w:hAnsiTheme="minorEastAsia" w:eastAsiaTheme="minorEastAsia"/>
          <w:b/>
          <w:sz w:val="21"/>
          <w:szCs w:val="21"/>
        </w:rPr>
        <w:t>、R</w:t>
      </w:r>
      <w:r>
        <w:rPr>
          <w:rFonts w:asciiTheme="minorEastAsia" w:hAnsiTheme="minorEastAsia" w:eastAsiaTheme="minorEastAsia"/>
          <w:b/>
          <w:sz w:val="21"/>
          <w:szCs w:val="21"/>
          <w:vertAlign w:val="subscript"/>
        </w:rPr>
        <w:t>B</w:t>
      </w:r>
      <w:r>
        <w:rPr>
          <w:rFonts w:asciiTheme="minorEastAsia" w:hAnsiTheme="minorEastAsia" w:eastAsiaTheme="minorEastAsia"/>
          <w:b/>
          <w:sz w:val="21"/>
          <w:szCs w:val="21"/>
        </w:rPr>
        <w:t>、R</w:t>
      </w:r>
      <w:r>
        <w:rPr>
          <w:rFonts w:hint="eastAsia" w:asciiTheme="minorEastAsia" w:hAnsiTheme="minorEastAsia" w:eastAsiaTheme="minorEastAsia"/>
          <w:b/>
          <w:sz w:val="21"/>
          <w:szCs w:val="21"/>
          <w:vertAlign w:val="subscript"/>
        </w:rPr>
        <w:t>C</w:t>
      </w:r>
      <w:r>
        <w:rPr>
          <w:rFonts w:asciiTheme="minorEastAsia" w:hAnsiTheme="minorEastAsia" w:eastAsiaTheme="minorEastAsia"/>
          <w:b/>
          <w:sz w:val="21"/>
          <w:szCs w:val="21"/>
        </w:rPr>
        <w:t>、R</w:t>
      </w:r>
      <w:r>
        <w:rPr>
          <w:rFonts w:hint="eastAsia" w:asciiTheme="minorEastAsia" w:hAnsiTheme="minorEastAsia" w:eastAsiaTheme="minorEastAsia"/>
          <w:b/>
          <w:sz w:val="21"/>
          <w:szCs w:val="21"/>
          <w:vertAlign w:val="subscript"/>
        </w:rPr>
        <w:t>D</w:t>
      </w:r>
      <w:r>
        <w:rPr>
          <w:rFonts w:asciiTheme="minorEastAsia" w:hAnsiTheme="minorEastAsia" w:eastAsiaTheme="minorEastAsia"/>
          <w:b/>
          <w:sz w:val="21"/>
          <w:szCs w:val="21"/>
        </w:rPr>
        <w:t>:</w:t>
      </w:r>
    </w:p>
    <w:p>
      <w:pPr>
        <w:snapToGrid w:val="0"/>
        <w:spacing w:line="440" w:lineRule="exact"/>
        <w:ind w:firstLine="422"/>
        <w:rPr>
          <w:rFonts w:asciiTheme="minorEastAsia" w:hAnsiTheme="minorEastAsia" w:eastAsiaTheme="minorEastAsia"/>
          <w:b/>
          <w:sz w:val="21"/>
          <w:szCs w:val="21"/>
        </w:rPr>
      </w:pPr>
      <w:r>
        <w:rPr>
          <w:rFonts w:asciiTheme="minorEastAsia" w:hAnsiTheme="minorEastAsia" w:eastAsiaTheme="minorEastAsia"/>
          <w:b/>
          <w:sz w:val="21"/>
          <w:szCs w:val="21"/>
        </w:rPr>
        <w:t>若R</w:t>
      </w:r>
      <w:r>
        <w:rPr>
          <w:rFonts w:asciiTheme="minorEastAsia" w:hAnsiTheme="minorEastAsia" w:eastAsiaTheme="minorEastAsia"/>
          <w:b/>
          <w:sz w:val="21"/>
          <w:szCs w:val="21"/>
          <w:vertAlign w:val="subscript"/>
        </w:rPr>
        <w:t>A</w:t>
      </w:r>
      <w:r>
        <w:rPr>
          <w:rFonts w:asciiTheme="minorEastAsia" w:hAnsiTheme="minorEastAsia" w:eastAsiaTheme="minorEastAsia"/>
          <w:b/>
          <w:sz w:val="21"/>
          <w:szCs w:val="21"/>
        </w:rPr>
        <w:t>≤2.</w:t>
      </w:r>
      <w:r>
        <w:rPr>
          <w:rFonts w:hint="eastAsia" w:asciiTheme="minorEastAsia" w:hAnsiTheme="minorEastAsia" w:eastAsiaTheme="minorEastAsia"/>
          <w:b/>
          <w:sz w:val="21"/>
          <w:szCs w:val="21"/>
        </w:rPr>
        <w:t>55</w:t>
      </w:r>
      <w:r>
        <w:rPr>
          <w:rFonts w:asciiTheme="minorEastAsia" w:hAnsiTheme="minorEastAsia" w:eastAsiaTheme="minorEastAsia"/>
          <w:b/>
          <w:sz w:val="21"/>
          <w:szCs w:val="21"/>
        </w:rPr>
        <w:t>%，R</w:t>
      </w:r>
      <w:r>
        <w:rPr>
          <w:rFonts w:asciiTheme="minorEastAsia" w:hAnsiTheme="minorEastAsia" w:eastAsiaTheme="minorEastAsia"/>
          <w:b/>
          <w:sz w:val="21"/>
          <w:szCs w:val="21"/>
          <w:vertAlign w:val="subscript"/>
        </w:rPr>
        <w:t>B</w:t>
      </w:r>
      <w:r>
        <w:rPr>
          <w:rFonts w:asciiTheme="minorEastAsia" w:hAnsiTheme="minorEastAsia" w:eastAsiaTheme="minorEastAsia"/>
          <w:b/>
          <w:sz w:val="21"/>
          <w:szCs w:val="21"/>
        </w:rPr>
        <w:t>≤2.</w:t>
      </w:r>
      <w:r>
        <w:rPr>
          <w:rFonts w:hint="eastAsia" w:asciiTheme="minorEastAsia" w:hAnsiTheme="minorEastAsia" w:eastAsiaTheme="minorEastAsia"/>
          <w:b/>
          <w:sz w:val="21"/>
          <w:szCs w:val="21"/>
        </w:rPr>
        <w:t>40</w:t>
      </w:r>
      <w:r>
        <w:rPr>
          <w:rFonts w:asciiTheme="minorEastAsia" w:hAnsiTheme="minorEastAsia" w:eastAsiaTheme="minorEastAsia"/>
          <w:b/>
          <w:sz w:val="21"/>
          <w:szCs w:val="21"/>
        </w:rPr>
        <w:t>%，R</w:t>
      </w:r>
      <w:r>
        <w:rPr>
          <w:rFonts w:hint="eastAsia" w:asciiTheme="minorEastAsia" w:hAnsiTheme="minorEastAsia" w:eastAsiaTheme="minorEastAsia"/>
          <w:b/>
          <w:sz w:val="21"/>
          <w:szCs w:val="21"/>
          <w:vertAlign w:val="subscript"/>
        </w:rPr>
        <w:t>C</w:t>
      </w:r>
      <w:r>
        <w:rPr>
          <w:rFonts w:asciiTheme="minorEastAsia" w:hAnsiTheme="minorEastAsia" w:eastAsiaTheme="minorEastAsia"/>
          <w:b/>
          <w:sz w:val="21"/>
          <w:szCs w:val="21"/>
        </w:rPr>
        <w:t>≤2.</w:t>
      </w:r>
      <w:r>
        <w:rPr>
          <w:rFonts w:hint="eastAsia" w:asciiTheme="minorEastAsia" w:hAnsiTheme="minorEastAsia" w:eastAsiaTheme="minorEastAsia"/>
          <w:b/>
          <w:sz w:val="21"/>
          <w:szCs w:val="21"/>
        </w:rPr>
        <w:t>60</w:t>
      </w:r>
      <w:r>
        <w:rPr>
          <w:rFonts w:asciiTheme="minorEastAsia" w:hAnsiTheme="minorEastAsia" w:eastAsiaTheme="minorEastAsia"/>
          <w:b/>
          <w:sz w:val="21"/>
          <w:szCs w:val="21"/>
        </w:rPr>
        <w:t>%，R</w:t>
      </w:r>
      <w:r>
        <w:rPr>
          <w:rFonts w:hint="eastAsia" w:asciiTheme="minorEastAsia" w:hAnsiTheme="minorEastAsia" w:eastAsiaTheme="minorEastAsia"/>
          <w:b/>
          <w:sz w:val="21"/>
          <w:szCs w:val="21"/>
          <w:vertAlign w:val="subscript"/>
        </w:rPr>
        <w:t>D</w:t>
      </w:r>
      <w:r>
        <w:rPr>
          <w:rFonts w:asciiTheme="minorEastAsia" w:hAnsiTheme="minorEastAsia" w:eastAsiaTheme="minorEastAsia"/>
          <w:b/>
          <w:sz w:val="21"/>
          <w:szCs w:val="21"/>
        </w:rPr>
        <w:t>≤2.</w:t>
      </w:r>
      <w:r>
        <w:rPr>
          <w:rFonts w:hint="eastAsia" w:asciiTheme="minorEastAsia" w:hAnsiTheme="minorEastAsia" w:eastAsiaTheme="minorEastAsia"/>
          <w:b/>
          <w:sz w:val="21"/>
          <w:szCs w:val="21"/>
        </w:rPr>
        <w:t>60</w:t>
      </w:r>
      <w:r>
        <w:rPr>
          <w:rFonts w:asciiTheme="minorEastAsia" w:hAnsiTheme="minorEastAsia" w:eastAsiaTheme="minorEastAsia"/>
          <w:b/>
          <w:sz w:val="21"/>
          <w:szCs w:val="21"/>
        </w:rPr>
        <w:t>%，产品管理人不对该份额类别收取浮动管理费；</w:t>
      </w:r>
    </w:p>
    <w:bookmarkEnd w:id="32"/>
    <w:bookmarkEnd w:id="33"/>
    <w:p>
      <w:pPr>
        <w:snapToGrid w:val="0"/>
        <w:spacing w:line="440" w:lineRule="exact"/>
        <w:ind w:firstLine="422"/>
        <w:rPr>
          <w:rFonts w:asciiTheme="minorEastAsia" w:hAnsiTheme="minorEastAsia" w:eastAsiaTheme="minorEastAsia"/>
          <w:b/>
          <w:sz w:val="21"/>
          <w:szCs w:val="21"/>
        </w:rPr>
      </w:pPr>
      <w:bookmarkStart w:id="34" w:name="_Hlk159428106"/>
      <w:r>
        <w:rPr>
          <w:rFonts w:asciiTheme="minorEastAsia" w:hAnsiTheme="minorEastAsia" w:eastAsiaTheme="minorEastAsia"/>
          <w:b/>
          <w:sz w:val="21"/>
          <w:szCs w:val="21"/>
        </w:rPr>
        <w:t>若R</w:t>
      </w:r>
      <w:r>
        <w:rPr>
          <w:rFonts w:asciiTheme="minorEastAsia" w:hAnsiTheme="minorEastAsia" w:eastAsiaTheme="minorEastAsia"/>
          <w:b/>
          <w:sz w:val="21"/>
          <w:szCs w:val="21"/>
          <w:vertAlign w:val="subscript"/>
        </w:rPr>
        <w:t>A</w:t>
      </w:r>
      <w:r>
        <w:rPr>
          <w:rFonts w:asciiTheme="minorEastAsia" w:hAnsiTheme="minorEastAsia" w:eastAsiaTheme="minorEastAsia"/>
          <w:b/>
          <w:sz w:val="21"/>
          <w:szCs w:val="21"/>
        </w:rPr>
        <w:t>&gt;2.</w:t>
      </w:r>
      <w:r>
        <w:rPr>
          <w:rFonts w:hint="eastAsia" w:asciiTheme="minorEastAsia" w:hAnsiTheme="minorEastAsia" w:eastAsiaTheme="minorEastAsia"/>
          <w:b/>
          <w:sz w:val="21"/>
          <w:szCs w:val="21"/>
        </w:rPr>
        <w:t>55</w:t>
      </w:r>
      <w:r>
        <w:rPr>
          <w:rFonts w:asciiTheme="minorEastAsia" w:hAnsiTheme="minorEastAsia" w:eastAsiaTheme="minorEastAsia"/>
          <w:b/>
          <w:sz w:val="21"/>
          <w:szCs w:val="21"/>
        </w:rPr>
        <w:t>%，则超过部分10％归投资者所有，其余90％作为产品管理人的浮动管理费；R</w:t>
      </w:r>
      <w:r>
        <w:rPr>
          <w:rFonts w:asciiTheme="minorEastAsia" w:hAnsiTheme="minorEastAsia" w:eastAsiaTheme="minorEastAsia"/>
          <w:b/>
          <w:sz w:val="21"/>
          <w:szCs w:val="21"/>
          <w:vertAlign w:val="subscript"/>
        </w:rPr>
        <w:t>B</w:t>
      </w:r>
      <w:r>
        <w:rPr>
          <w:rFonts w:asciiTheme="minorEastAsia" w:hAnsiTheme="minorEastAsia" w:eastAsiaTheme="minorEastAsia"/>
          <w:b/>
          <w:sz w:val="21"/>
          <w:szCs w:val="21"/>
        </w:rPr>
        <w:t>&gt;2.</w:t>
      </w:r>
      <w:r>
        <w:rPr>
          <w:rFonts w:hint="eastAsia" w:asciiTheme="minorEastAsia" w:hAnsiTheme="minorEastAsia" w:eastAsiaTheme="minorEastAsia"/>
          <w:b/>
          <w:sz w:val="21"/>
          <w:szCs w:val="21"/>
        </w:rPr>
        <w:t>40</w:t>
      </w:r>
      <w:r>
        <w:rPr>
          <w:rFonts w:asciiTheme="minorEastAsia" w:hAnsiTheme="minorEastAsia" w:eastAsiaTheme="minorEastAsia"/>
          <w:b/>
          <w:sz w:val="21"/>
          <w:szCs w:val="21"/>
        </w:rPr>
        <w:t>%，则超过部分10％归投资者所有，其余90％作为产品管理人的浮动管理费</w:t>
      </w:r>
      <w:r>
        <w:rPr>
          <w:rFonts w:hint="eastAsia" w:asciiTheme="minorEastAsia" w:hAnsiTheme="minorEastAsia" w:eastAsiaTheme="minorEastAsia"/>
          <w:b/>
          <w:sz w:val="21"/>
          <w:szCs w:val="21"/>
        </w:rPr>
        <w:t>；</w:t>
      </w:r>
      <w:r>
        <w:rPr>
          <w:rFonts w:asciiTheme="minorEastAsia" w:hAnsiTheme="minorEastAsia" w:eastAsiaTheme="minorEastAsia"/>
          <w:b/>
          <w:sz w:val="21"/>
          <w:szCs w:val="21"/>
        </w:rPr>
        <w:t>R</w:t>
      </w:r>
      <w:r>
        <w:rPr>
          <w:rFonts w:hint="eastAsia" w:asciiTheme="minorEastAsia" w:hAnsiTheme="minorEastAsia" w:eastAsiaTheme="minorEastAsia"/>
          <w:b/>
          <w:sz w:val="21"/>
          <w:szCs w:val="21"/>
          <w:vertAlign w:val="subscript"/>
        </w:rPr>
        <w:t>C</w:t>
      </w:r>
      <w:r>
        <w:rPr>
          <w:rFonts w:asciiTheme="minorEastAsia" w:hAnsiTheme="minorEastAsia" w:eastAsiaTheme="minorEastAsia"/>
          <w:b/>
          <w:sz w:val="21"/>
          <w:szCs w:val="21"/>
        </w:rPr>
        <w:t>&gt;2.</w:t>
      </w:r>
      <w:r>
        <w:rPr>
          <w:rFonts w:hint="eastAsia" w:asciiTheme="minorEastAsia" w:hAnsiTheme="minorEastAsia" w:eastAsiaTheme="minorEastAsia"/>
          <w:b/>
          <w:sz w:val="21"/>
          <w:szCs w:val="21"/>
        </w:rPr>
        <w:t>60</w:t>
      </w:r>
      <w:r>
        <w:rPr>
          <w:rFonts w:asciiTheme="minorEastAsia" w:hAnsiTheme="minorEastAsia" w:eastAsiaTheme="minorEastAsia"/>
          <w:b/>
          <w:sz w:val="21"/>
          <w:szCs w:val="21"/>
        </w:rPr>
        <w:t>%，则超过部分10％归投资者所有，其余90％作为产品管理人的浮动管理费</w:t>
      </w:r>
      <w:r>
        <w:rPr>
          <w:rFonts w:hint="eastAsia" w:asciiTheme="minorEastAsia" w:hAnsiTheme="minorEastAsia" w:eastAsiaTheme="minorEastAsia"/>
          <w:b/>
          <w:sz w:val="21"/>
          <w:szCs w:val="21"/>
        </w:rPr>
        <w:t>；</w:t>
      </w:r>
      <w:r>
        <w:rPr>
          <w:rFonts w:asciiTheme="minorEastAsia" w:hAnsiTheme="minorEastAsia" w:eastAsiaTheme="minorEastAsia"/>
          <w:b/>
          <w:sz w:val="21"/>
          <w:szCs w:val="21"/>
        </w:rPr>
        <w:t>R</w:t>
      </w:r>
      <w:r>
        <w:rPr>
          <w:rFonts w:hint="eastAsia" w:asciiTheme="minorEastAsia" w:hAnsiTheme="minorEastAsia" w:eastAsiaTheme="minorEastAsia"/>
          <w:b/>
          <w:sz w:val="21"/>
          <w:szCs w:val="21"/>
          <w:vertAlign w:val="subscript"/>
        </w:rPr>
        <w:t>D</w:t>
      </w:r>
      <w:r>
        <w:rPr>
          <w:rFonts w:asciiTheme="minorEastAsia" w:hAnsiTheme="minorEastAsia" w:eastAsiaTheme="minorEastAsia"/>
          <w:b/>
          <w:sz w:val="21"/>
          <w:szCs w:val="21"/>
        </w:rPr>
        <w:t>&gt;2.</w:t>
      </w:r>
      <w:r>
        <w:rPr>
          <w:rFonts w:hint="eastAsia" w:asciiTheme="minorEastAsia" w:hAnsiTheme="minorEastAsia" w:eastAsiaTheme="minorEastAsia"/>
          <w:b/>
          <w:sz w:val="21"/>
          <w:szCs w:val="21"/>
        </w:rPr>
        <w:t>60</w:t>
      </w:r>
      <w:r>
        <w:rPr>
          <w:rFonts w:asciiTheme="minorEastAsia" w:hAnsiTheme="minorEastAsia" w:eastAsiaTheme="minorEastAsia"/>
          <w:b/>
          <w:sz w:val="21"/>
          <w:szCs w:val="21"/>
        </w:rPr>
        <w:t>%，则超过部分10％归投资者所有，其余90％作为产品管理人的浮动管理费</w:t>
      </w:r>
      <w:r>
        <w:rPr>
          <w:rFonts w:hint="eastAsia" w:asciiTheme="minorEastAsia" w:hAnsiTheme="minorEastAsia" w:eastAsiaTheme="minorEastAsia"/>
          <w:b/>
          <w:sz w:val="21"/>
          <w:szCs w:val="21"/>
        </w:rPr>
        <w:t>。</w:t>
      </w:r>
    </w:p>
    <w:bookmarkEnd w:id="34"/>
    <w:p>
      <w:pPr>
        <w:snapToGrid w:val="0"/>
        <w:spacing w:line="440" w:lineRule="exact"/>
        <w:ind w:firstLine="422"/>
        <w:rPr>
          <w:rFonts w:asciiTheme="minorEastAsia" w:hAnsiTheme="minorEastAsia" w:eastAsiaTheme="minorEastAsia"/>
          <w:b/>
          <w:sz w:val="21"/>
          <w:szCs w:val="21"/>
        </w:rPr>
      </w:pPr>
      <w:bookmarkStart w:id="35" w:name="_Hlk153379824"/>
      <w:r>
        <w:rPr>
          <w:rFonts w:asciiTheme="minorEastAsia" w:hAnsiTheme="minorEastAsia" w:eastAsiaTheme="minorEastAsia"/>
          <w:b/>
          <w:sz w:val="21"/>
          <w:szCs w:val="21"/>
        </w:rPr>
        <w:t>浮动管理费每日计提，以A份额为例，若R</w:t>
      </w:r>
      <w:r>
        <w:rPr>
          <w:rFonts w:asciiTheme="minorEastAsia" w:hAnsiTheme="minorEastAsia" w:eastAsiaTheme="minorEastAsia"/>
          <w:b/>
          <w:sz w:val="21"/>
          <w:szCs w:val="21"/>
          <w:vertAlign w:val="subscript"/>
        </w:rPr>
        <w:t>A</w:t>
      </w:r>
      <w:r>
        <w:rPr>
          <w:rFonts w:asciiTheme="minorEastAsia" w:hAnsiTheme="minorEastAsia" w:eastAsiaTheme="minorEastAsia"/>
          <w:b/>
          <w:sz w:val="21"/>
          <w:szCs w:val="21"/>
        </w:rPr>
        <w:t>&gt;2.</w:t>
      </w:r>
      <w:r>
        <w:rPr>
          <w:rFonts w:hint="eastAsia" w:asciiTheme="minorEastAsia" w:hAnsiTheme="minorEastAsia" w:eastAsiaTheme="minorEastAsia"/>
          <w:b/>
          <w:sz w:val="21"/>
          <w:szCs w:val="21"/>
        </w:rPr>
        <w:t>55</w:t>
      </w:r>
      <w:r>
        <w:rPr>
          <w:rFonts w:asciiTheme="minorEastAsia" w:hAnsiTheme="minorEastAsia" w:eastAsiaTheme="minorEastAsia"/>
          <w:b/>
          <w:sz w:val="21"/>
          <w:szCs w:val="21"/>
        </w:rPr>
        <w:t>％，A份额累积应计提的浮动管理费=（R</w:t>
      </w:r>
      <w:r>
        <w:rPr>
          <w:rFonts w:asciiTheme="minorEastAsia" w:hAnsiTheme="minorEastAsia" w:eastAsiaTheme="minorEastAsia"/>
          <w:b/>
          <w:sz w:val="21"/>
          <w:szCs w:val="21"/>
          <w:vertAlign w:val="subscript"/>
        </w:rPr>
        <w:t>A</w:t>
      </w:r>
      <w:r>
        <w:rPr>
          <w:rFonts w:asciiTheme="minorEastAsia" w:hAnsiTheme="minorEastAsia" w:eastAsiaTheme="minorEastAsia"/>
          <w:b/>
          <w:sz w:val="21"/>
          <w:szCs w:val="21"/>
        </w:rPr>
        <w:t>-2.</w:t>
      </w:r>
      <w:r>
        <w:rPr>
          <w:rFonts w:hint="eastAsia" w:asciiTheme="minorEastAsia" w:hAnsiTheme="minorEastAsia" w:eastAsiaTheme="minorEastAsia"/>
          <w:b/>
          <w:sz w:val="21"/>
          <w:szCs w:val="21"/>
        </w:rPr>
        <w:t>55</w:t>
      </w:r>
      <w:r>
        <w:rPr>
          <w:rFonts w:asciiTheme="minorEastAsia" w:hAnsiTheme="minorEastAsia" w:eastAsiaTheme="minorEastAsia"/>
          <w:b/>
          <w:sz w:val="21"/>
          <w:szCs w:val="21"/>
        </w:rPr>
        <w:t>％）×计提周期÷365×计提基础×计提比例90％</w:t>
      </w:r>
    </w:p>
    <w:p>
      <w:pPr>
        <w:snapToGrid w:val="0"/>
        <w:spacing w:line="440" w:lineRule="exact"/>
        <w:ind w:firstLine="422"/>
        <w:rPr>
          <w:rFonts w:asciiTheme="minorEastAsia" w:hAnsiTheme="minorEastAsia" w:eastAsiaTheme="minorEastAsia"/>
          <w:b/>
          <w:sz w:val="21"/>
          <w:szCs w:val="21"/>
        </w:rPr>
      </w:pPr>
      <w:r>
        <w:rPr>
          <w:rFonts w:asciiTheme="minorEastAsia" w:hAnsiTheme="minorEastAsia" w:eastAsiaTheme="minorEastAsia"/>
          <w:b/>
          <w:sz w:val="21"/>
          <w:szCs w:val="21"/>
        </w:rPr>
        <w:t>其中：</w:t>
      </w:r>
    </w:p>
    <w:p>
      <w:pPr>
        <w:snapToGrid w:val="0"/>
        <w:spacing w:line="440" w:lineRule="exact"/>
        <w:ind w:firstLine="422"/>
        <w:rPr>
          <w:rFonts w:asciiTheme="minorEastAsia" w:hAnsiTheme="minorEastAsia" w:eastAsiaTheme="minorEastAsia"/>
          <w:b/>
          <w:sz w:val="21"/>
          <w:szCs w:val="21"/>
        </w:rPr>
      </w:pPr>
      <w:r>
        <w:rPr>
          <w:rFonts w:asciiTheme="minorEastAsia" w:hAnsiTheme="minorEastAsia" w:eastAsiaTheme="minorEastAsia"/>
          <w:b/>
          <w:sz w:val="21"/>
          <w:szCs w:val="21"/>
        </w:rPr>
        <w:t>R</w:t>
      </w:r>
      <w:r>
        <w:rPr>
          <w:rFonts w:asciiTheme="minorEastAsia" w:hAnsiTheme="minorEastAsia" w:eastAsiaTheme="minorEastAsia"/>
          <w:b/>
          <w:sz w:val="21"/>
          <w:szCs w:val="21"/>
          <w:vertAlign w:val="subscript"/>
        </w:rPr>
        <w:t>A</w:t>
      </w:r>
      <w:r>
        <w:rPr>
          <w:rFonts w:asciiTheme="minorEastAsia" w:hAnsiTheme="minorEastAsia" w:eastAsiaTheme="minorEastAsia"/>
          <w:b/>
          <w:sz w:val="21"/>
          <w:szCs w:val="21"/>
        </w:rPr>
        <w:t>指计提当日按A份额费前累计单位净值（即扣除</w:t>
      </w:r>
      <w:r>
        <w:rPr>
          <w:rFonts w:cs="Times New Roman" w:asciiTheme="minorEastAsia" w:hAnsiTheme="minorEastAsia" w:eastAsiaTheme="minorEastAsia"/>
          <w:b/>
          <w:sz w:val="21"/>
          <w:szCs w:val="21"/>
        </w:rPr>
        <w:t>销售服务费、固定管理费、托管费等相关税费，但不扣除浮动管理费计算的累计单位净值</w:t>
      </w:r>
      <w:r>
        <w:rPr>
          <w:rFonts w:asciiTheme="minorEastAsia" w:hAnsiTheme="minorEastAsia" w:eastAsiaTheme="minorEastAsia"/>
          <w:b/>
          <w:sz w:val="21"/>
          <w:szCs w:val="21"/>
        </w:rPr>
        <w:t>）折算的A份额年化收益率；</w:t>
      </w:r>
    </w:p>
    <w:p>
      <w:pPr>
        <w:snapToGrid w:val="0"/>
        <w:spacing w:line="440" w:lineRule="exact"/>
        <w:ind w:firstLine="422"/>
        <w:rPr>
          <w:rFonts w:asciiTheme="minorEastAsia" w:hAnsiTheme="minorEastAsia" w:eastAsiaTheme="minorEastAsia"/>
          <w:b/>
          <w:sz w:val="21"/>
          <w:szCs w:val="21"/>
        </w:rPr>
      </w:pPr>
      <w:r>
        <w:rPr>
          <w:rFonts w:asciiTheme="minorEastAsia" w:hAnsiTheme="minorEastAsia" w:eastAsiaTheme="minorEastAsia"/>
          <w:b/>
          <w:sz w:val="21"/>
          <w:szCs w:val="21"/>
        </w:rPr>
        <w:t>计提周期指A份额成立日（含）至计提日（含）的实际天数；</w:t>
      </w:r>
    </w:p>
    <w:p>
      <w:pPr>
        <w:snapToGrid w:val="0"/>
        <w:spacing w:line="440" w:lineRule="exact"/>
        <w:ind w:firstLine="422"/>
        <w:rPr>
          <w:rFonts w:asciiTheme="minorEastAsia" w:hAnsiTheme="minorEastAsia" w:eastAsiaTheme="minorEastAsia"/>
          <w:b/>
          <w:sz w:val="21"/>
          <w:szCs w:val="21"/>
        </w:rPr>
      </w:pPr>
      <w:r>
        <w:rPr>
          <w:rFonts w:asciiTheme="minorEastAsia" w:hAnsiTheme="minorEastAsia" w:eastAsiaTheme="minorEastAsia"/>
          <w:b/>
          <w:sz w:val="21"/>
          <w:szCs w:val="21"/>
        </w:rPr>
        <w:t>计提基础=初始单位净值×A份额成立日总份额。</w:t>
      </w:r>
    </w:p>
    <w:p>
      <w:pPr>
        <w:snapToGrid w:val="0"/>
        <w:spacing w:line="440" w:lineRule="exact"/>
        <w:ind w:firstLine="422"/>
        <w:rPr>
          <w:rFonts w:asciiTheme="minorEastAsia" w:hAnsiTheme="minorEastAsia" w:eastAsiaTheme="minorEastAsia"/>
          <w:b/>
          <w:sz w:val="21"/>
          <w:szCs w:val="21"/>
        </w:rPr>
      </w:pPr>
      <w:bookmarkStart w:id="36" w:name="_Hlk153372779"/>
      <w:r>
        <w:rPr>
          <w:rFonts w:asciiTheme="minorEastAsia" w:hAnsiTheme="minorEastAsia" w:eastAsiaTheme="minorEastAsia"/>
          <w:b/>
          <w:sz w:val="21"/>
          <w:szCs w:val="21"/>
        </w:rPr>
        <w:t>对于每一份额类别，</w:t>
      </w:r>
      <w:bookmarkEnd w:id="36"/>
      <w:r>
        <w:rPr>
          <w:rFonts w:asciiTheme="minorEastAsia" w:hAnsiTheme="minorEastAsia" w:eastAsiaTheme="minorEastAsia"/>
          <w:b/>
          <w:sz w:val="21"/>
          <w:szCs w:val="21"/>
        </w:rPr>
        <w:t>每日计提的浮动管理费仅作为暂估数据，用于该份额类别会计核算和估值日估值；仅份额类别终止日当天确认计提的浮动管理费作为该份额类别浮动管理费的结算依据。</w:t>
      </w:r>
      <w:bookmarkEnd w:id="35"/>
    </w:p>
    <w:bookmarkEnd w:id="31"/>
    <w:p>
      <w:pPr>
        <w:snapToGrid w:val="0"/>
        <w:spacing w:line="440" w:lineRule="exact"/>
        <w:ind w:firstLine="422"/>
        <w:rPr>
          <w:rFonts w:asciiTheme="minorEastAsia" w:hAnsiTheme="minorEastAsia" w:eastAsiaTheme="minorEastAsia"/>
          <w:b/>
          <w:sz w:val="21"/>
          <w:szCs w:val="21"/>
        </w:rPr>
      </w:pPr>
      <w:r>
        <w:rPr>
          <w:rFonts w:asciiTheme="minorEastAsia" w:hAnsiTheme="minorEastAsia" w:eastAsiaTheme="minorEastAsia"/>
          <w:b/>
          <w:sz w:val="21"/>
          <w:szCs w:val="21"/>
        </w:rPr>
        <w:t>3、其他费用，包括但不限于交易手续费、账户服务费、审计费、律师费、诉讼费、信息披露费、清算费、执行费用等应由产品承担的费用，具体按照实际发生列支。</w:t>
      </w:r>
    </w:p>
    <w:p>
      <w:pPr>
        <w:snapToGrid w:val="0"/>
        <w:spacing w:line="440" w:lineRule="exact"/>
        <w:ind w:firstLine="422"/>
        <w:rPr>
          <w:rFonts w:asciiTheme="minorEastAsia" w:hAnsiTheme="minorEastAsia" w:eastAsiaTheme="minorEastAsia"/>
          <w:b/>
          <w:sz w:val="21"/>
          <w:szCs w:val="21"/>
        </w:rPr>
      </w:pPr>
      <w:r>
        <w:rPr>
          <w:rFonts w:asciiTheme="minorEastAsia" w:hAnsiTheme="minorEastAsia" w:eastAsiaTheme="minorEastAsia"/>
          <w:b/>
          <w:sz w:val="21"/>
          <w:szCs w:val="21"/>
        </w:rPr>
        <w:t>4、产品管理人有权根据相关法律和国家政策规定，对理财产品费用的收费项目、收费条件、收费标准和收费方式等进行调整。产品管理人对费用的调整将依约定进行公告。若投资者有权不接受变更，可通过赎回退出本产品。投资者未在变更生效前提出赎回申请的，视为同意接受变更后条款，产品管理人有权按照变更后的约定内容进行操作。</w:t>
      </w:r>
    </w:p>
    <w:p>
      <w:pPr>
        <w:snapToGrid w:val="0"/>
        <w:spacing w:line="440" w:lineRule="exact"/>
        <w:ind w:firstLine="420"/>
        <w:outlineLvl w:val="0"/>
        <w:rPr>
          <w:rFonts w:asciiTheme="minorEastAsia" w:hAnsiTheme="minorEastAsia" w:eastAsiaTheme="minorEastAsia"/>
          <w:bCs/>
          <w:sz w:val="21"/>
          <w:szCs w:val="21"/>
        </w:rPr>
      </w:pPr>
      <w:r>
        <w:rPr>
          <w:rFonts w:asciiTheme="minorEastAsia" w:hAnsiTheme="minorEastAsia" w:eastAsiaTheme="minorEastAsia"/>
          <w:bCs/>
          <w:sz w:val="21"/>
          <w:szCs w:val="21"/>
        </w:rPr>
        <w:t>（三）投资者收益计算示例</w:t>
      </w:r>
    </w:p>
    <w:p>
      <w:pPr>
        <w:snapToGrid w:val="0"/>
        <w:spacing w:line="440" w:lineRule="exact"/>
        <w:ind w:firstLine="420"/>
        <w:rPr>
          <w:rFonts w:asciiTheme="minorEastAsia" w:hAnsiTheme="minorEastAsia" w:eastAsiaTheme="minorEastAsia"/>
          <w:sz w:val="21"/>
          <w:szCs w:val="21"/>
        </w:rPr>
      </w:pPr>
      <w:r>
        <w:rPr>
          <w:rFonts w:asciiTheme="minorEastAsia" w:hAnsiTheme="minorEastAsia" w:eastAsiaTheme="minorEastAsia"/>
          <w:sz w:val="21"/>
          <w:szCs w:val="21"/>
        </w:rPr>
        <w:t>（以</w:t>
      </w:r>
      <w:r>
        <w:rPr>
          <w:rFonts w:cs="Times New Roman" w:asciiTheme="minorEastAsia" w:hAnsiTheme="minorEastAsia" w:eastAsiaTheme="minorEastAsia"/>
          <w:sz w:val="21"/>
          <w:szCs w:val="21"/>
        </w:rPr>
        <w:t>产品</w:t>
      </w:r>
      <w:r>
        <w:rPr>
          <w:rFonts w:asciiTheme="minorEastAsia" w:hAnsiTheme="minorEastAsia" w:eastAsiaTheme="minorEastAsia"/>
          <w:sz w:val="21"/>
          <w:szCs w:val="21"/>
        </w:rPr>
        <w:t>期限为730天，A份额</w:t>
      </w:r>
      <w:bookmarkStart w:id="37" w:name="_Hlk153268706"/>
      <w:bookmarkStart w:id="38" w:name="_Hlk152879316"/>
      <w:r>
        <w:rPr>
          <w:rFonts w:asciiTheme="minorEastAsia" w:hAnsiTheme="minorEastAsia" w:eastAsiaTheme="minorEastAsia"/>
          <w:sz w:val="21"/>
          <w:szCs w:val="21"/>
        </w:rPr>
        <w:t>折算的年化收益率超过</w:t>
      </w:r>
      <w:bookmarkEnd w:id="37"/>
      <w:r>
        <w:rPr>
          <w:rFonts w:asciiTheme="minorEastAsia" w:hAnsiTheme="minorEastAsia" w:eastAsiaTheme="minorEastAsia"/>
          <w:sz w:val="21"/>
          <w:szCs w:val="21"/>
        </w:rPr>
        <w:t>4.85%，</w:t>
      </w:r>
      <w:bookmarkStart w:id="39" w:name="_Hlk153268752"/>
      <w:r>
        <w:rPr>
          <w:rFonts w:asciiTheme="minorEastAsia" w:hAnsiTheme="minorEastAsia" w:eastAsiaTheme="minorEastAsia"/>
          <w:sz w:val="21"/>
          <w:szCs w:val="21"/>
        </w:rPr>
        <w:t>则超过部分80％作为产品管理人的浮动管理费为例</w:t>
      </w:r>
      <w:bookmarkEnd w:id="38"/>
      <w:bookmarkEnd w:id="39"/>
      <w:r>
        <w:rPr>
          <w:rFonts w:asciiTheme="minorEastAsia" w:hAnsiTheme="minorEastAsia" w:eastAsiaTheme="minorEastAsia"/>
          <w:sz w:val="21"/>
          <w:szCs w:val="21"/>
        </w:rPr>
        <w:t>）</w:t>
      </w:r>
    </w:p>
    <w:p>
      <w:pPr>
        <w:snapToGrid w:val="0"/>
        <w:spacing w:line="440" w:lineRule="exact"/>
        <w:ind w:firstLine="420"/>
        <w:rPr>
          <w:rFonts w:asciiTheme="minorEastAsia" w:hAnsiTheme="minorEastAsia" w:eastAsiaTheme="minorEastAsia"/>
          <w:sz w:val="21"/>
          <w:szCs w:val="21"/>
        </w:rPr>
      </w:pPr>
      <w:r>
        <w:rPr>
          <w:rFonts w:asciiTheme="minorEastAsia" w:hAnsiTheme="minorEastAsia" w:eastAsiaTheme="minorEastAsia"/>
          <w:sz w:val="21"/>
          <w:szCs w:val="21"/>
        </w:rPr>
        <w:t>情景1：以某投资者投资10万元</w:t>
      </w:r>
      <w:bookmarkStart w:id="40" w:name="_Hlk128658531"/>
      <w:r>
        <w:rPr>
          <w:rFonts w:asciiTheme="minorEastAsia" w:hAnsiTheme="minorEastAsia" w:eastAsiaTheme="minorEastAsia"/>
          <w:sz w:val="21"/>
          <w:szCs w:val="21"/>
        </w:rPr>
        <w:t>A份额</w:t>
      </w:r>
      <w:bookmarkEnd w:id="40"/>
      <w:r>
        <w:rPr>
          <w:rFonts w:asciiTheme="minorEastAsia" w:hAnsiTheme="minorEastAsia" w:eastAsiaTheme="minorEastAsia"/>
          <w:sz w:val="21"/>
          <w:szCs w:val="21"/>
        </w:rPr>
        <w:t>为例，购买时单位净值为1.0000，折算份额为100,000.00份。产品到期时，若投资者持有的份额依然为</w:t>
      </w:r>
      <w:bookmarkStart w:id="41" w:name="_Hlk153477528"/>
      <w:r>
        <w:rPr>
          <w:rFonts w:asciiTheme="minorEastAsia" w:hAnsiTheme="minorEastAsia" w:eastAsiaTheme="minorEastAsia"/>
          <w:sz w:val="21"/>
          <w:szCs w:val="21"/>
        </w:rPr>
        <w:t>100,000.00</w:t>
      </w:r>
      <w:bookmarkEnd w:id="41"/>
      <w:r>
        <w:rPr>
          <w:rFonts w:asciiTheme="minorEastAsia" w:hAnsiTheme="minorEastAsia" w:eastAsiaTheme="minorEastAsia"/>
          <w:sz w:val="21"/>
          <w:szCs w:val="21"/>
        </w:rPr>
        <w:t>份（即存续中未发生提前终止或提前赎回），扣除销售服务费、固定管理费、托管费等相关税费后，单位净值为</w:t>
      </w:r>
      <w:bookmarkStart w:id="42" w:name="_Hlk153461012"/>
      <w:r>
        <w:rPr>
          <w:rFonts w:asciiTheme="minorEastAsia" w:hAnsiTheme="minorEastAsia" w:eastAsiaTheme="minorEastAsia"/>
          <w:sz w:val="21"/>
          <w:szCs w:val="21"/>
        </w:rPr>
        <w:t>1.1100</w:t>
      </w:r>
      <w:bookmarkEnd w:id="42"/>
      <w:r>
        <w:rPr>
          <w:rFonts w:asciiTheme="minorEastAsia" w:hAnsiTheme="minorEastAsia" w:eastAsiaTheme="minorEastAsia"/>
          <w:sz w:val="21"/>
          <w:szCs w:val="21"/>
        </w:rPr>
        <w:t>，</w:t>
      </w:r>
      <w:bookmarkStart w:id="43" w:name="_Hlk153460986"/>
      <w:r>
        <w:rPr>
          <w:rFonts w:asciiTheme="minorEastAsia" w:hAnsiTheme="minorEastAsia" w:eastAsiaTheme="minorEastAsia"/>
          <w:sz w:val="21"/>
          <w:szCs w:val="21"/>
        </w:rPr>
        <w:t>A份额存续期内无分红，</w:t>
      </w:r>
      <w:bookmarkEnd w:id="43"/>
      <w:r>
        <w:rPr>
          <w:rFonts w:asciiTheme="minorEastAsia" w:hAnsiTheme="minorEastAsia" w:eastAsiaTheme="minorEastAsia"/>
          <w:sz w:val="21"/>
          <w:szCs w:val="21"/>
        </w:rPr>
        <w:t>此时，（1.1100÷1.0000-1）×365÷730=5.50%&gt;4.85%，则产品管理人对超过4.85%的部分收取浮动管理费，浮动管理费为：</w:t>
      </w:r>
    </w:p>
    <w:p>
      <w:pPr>
        <w:snapToGrid w:val="0"/>
        <w:spacing w:line="440" w:lineRule="exact"/>
        <w:ind w:firstLine="420"/>
        <w:rPr>
          <w:rFonts w:asciiTheme="minorEastAsia" w:hAnsiTheme="minorEastAsia" w:eastAsiaTheme="minorEastAsia"/>
          <w:sz w:val="21"/>
          <w:szCs w:val="21"/>
        </w:rPr>
      </w:pPr>
      <w:bookmarkStart w:id="44" w:name="_Hlk153461106"/>
      <w:r>
        <w:rPr>
          <w:rFonts w:asciiTheme="minorEastAsia" w:hAnsiTheme="minorEastAsia" w:eastAsiaTheme="minorEastAsia"/>
          <w:sz w:val="21"/>
          <w:szCs w:val="21"/>
        </w:rPr>
        <w:t>（5.50%-4.85%）×730÷365×100,000.00×80%</w:t>
      </w:r>
      <w:bookmarkEnd w:id="44"/>
      <w:r>
        <w:rPr>
          <w:rFonts w:asciiTheme="minorEastAsia" w:hAnsiTheme="minorEastAsia" w:eastAsiaTheme="minorEastAsia"/>
          <w:sz w:val="21"/>
          <w:szCs w:val="21"/>
        </w:rPr>
        <w:t xml:space="preserve">= 1,040.00元 </w:t>
      </w:r>
    </w:p>
    <w:p>
      <w:pPr>
        <w:snapToGrid w:val="0"/>
        <w:spacing w:line="440" w:lineRule="exact"/>
        <w:ind w:firstLine="420"/>
        <w:rPr>
          <w:rFonts w:asciiTheme="minorEastAsia" w:hAnsiTheme="minorEastAsia" w:eastAsiaTheme="minorEastAsia"/>
          <w:sz w:val="21"/>
          <w:szCs w:val="21"/>
        </w:rPr>
      </w:pPr>
      <w:r>
        <w:rPr>
          <w:rFonts w:asciiTheme="minorEastAsia" w:hAnsiTheme="minorEastAsia" w:eastAsiaTheme="minorEastAsia"/>
          <w:sz w:val="21"/>
          <w:szCs w:val="21"/>
        </w:rPr>
        <w:t>扣除浮动管理费后，</w:t>
      </w:r>
      <w:bookmarkStart w:id="45" w:name="_Hlk128671329"/>
      <w:bookmarkStart w:id="46" w:name="_Hlk128658601"/>
      <w:r>
        <w:rPr>
          <w:rFonts w:asciiTheme="minorEastAsia" w:hAnsiTheme="minorEastAsia" w:eastAsiaTheme="minorEastAsia"/>
          <w:sz w:val="21"/>
          <w:szCs w:val="21"/>
        </w:rPr>
        <w:t>A份额</w:t>
      </w:r>
      <w:bookmarkEnd w:id="45"/>
      <w:r>
        <w:rPr>
          <w:rFonts w:asciiTheme="minorEastAsia" w:hAnsiTheme="minorEastAsia" w:eastAsiaTheme="minorEastAsia"/>
          <w:sz w:val="21"/>
          <w:szCs w:val="21"/>
        </w:rPr>
        <w:t>投资者</w:t>
      </w:r>
      <w:bookmarkEnd w:id="46"/>
      <w:r>
        <w:rPr>
          <w:rFonts w:asciiTheme="minorEastAsia" w:hAnsiTheme="minorEastAsia" w:eastAsiaTheme="minorEastAsia"/>
          <w:sz w:val="21"/>
          <w:szCs w:val="21"/>
        </w:rPr>
        <w:t>最终收益为：</w:t>
      </w:r>
    </w:p>
    <w:p>
      <w:pPr>
        <w:snapToGrid w:val="0"/>
        <w:spacing w:line="440" w:lineRule="exact"/>
        <w:ind w:firstLine="420"/>
        <w:rPr>
          <w:rFonts w:asciiTheme="minorEastAsia" w:hAnsiTheme="minorEastAsia" w:eastAsiaTheme="minorEastAsia"/>
          <w:sz w:val="21"/>
          <w:szCs w:val="21"/>
        </w:rPr>
      </w:pPr>
      <w:r>
        <w:rPr>
          <w:rFonts w:asciiTheme="minorEastAsia" w:hAnsiTheme="minorEastAsia" w:eastAsiaTheme="minorEastAsia"/>
          <w:sz w:val="21"/>
          <w:szCs w:val="21"/>
        </w:rPr>
        <w:t>100,000.00×1.1100-</w:t>
      </w:r>
      <w:bookmarkStart w:id="47" w:name="_Hlk153461199"/>
      <w:r>
        <w:rPr>
          <w:rFonts w:asciiTheme="minorEastAsia" w:hAnsiTheme="minorEastAsia" w:eastAsiaTheme="minorEastAsia"/>
          <w:sz w:val="21"/>
          <w:szCs w:val="21"/>
        </w:rPr>
        <w:t>100,000.00</w:t>
      </w:r>
      <w:bookmarkEnd w:id="47"/>
      <w:r>
        <w:rPr>
          <w:rFonts w:asciiTheme="minorEastAsia" w:hAnsiTheme="minorEastAsia" w:eastAsiaTheme="minorEastAsia"/>
          <w:sz w:val="21"/>
          <w:szCs w:val="21"/>
        </w:rPr>
        <w:t>-1,040.00=9,960.00元，产品到期时，</w:t>
      </w:r>
      <w:bookmarkStart w:id="48" w:name="_Hlk128658612"/>
      <w:r>
        <w:rPr>
          <w:rFonts w:asciiTheme="minorEastAsia" w:hAnsiTheme="minorEastAsia" w:eastAsiaTheme="minorEastAsia"/>
          <w:sz w:val="21"/>
          <w:szCs w:val="21"/>
        </w:rPr>
        <w:t>A份额</w:t>
      </w:r>
      <w:bookmarkEnd w:id="48"/>
      <w:r>
        <w:rPr>
          <w:rFonts w:asciiTheme="minorEastAsia" w:hAnsiTheme="minorEastAsia" w:eastAsiaTheme="minorEastAsia"/>
          <w:sz w:val="21"/>
          <w:szCs w:val="21"/>
        </w:rPr>
        <w:t>投资者获得的实际收益相当于达到年化收益率水平为：9,960.00÷100,000.00×365÷730=4.98%。</w:t>
      </w:r>
    </w:p>
    <w:p>
      <w:pPr>
        <w:snapToGrid w:val="0"/>
        <w:spacing w:line="440" w:lineRule="exact"/>
        <w:ind w:firstLine="420"/>
        <w:rPr>
          <w:rFonts w:asciiTheme="minorEastAsia" w:hAnsiTheme="minorEastAsia" w:eastAsiaTheme="minorEastAsia"/>
          <w:sz w:val="21"/>
          <w:szCs w:val="21"/>
        </w:rPr>
      </w:pPr>
      <w:r>
        <w:rPr>
          <w:rFonts w:asciiTheme="minorEastAsia" w:hAnsiTheme="minorEastAsia" w:eastAsiaTheme="minorEastAsia"/>
          <w:sz w:val="21"/>
          <w:szCs w:val="21"/>
        </w:rPr>
        <w:t>情景2：以某投资者投资10万元</w:t>
      </w:r>
      <w:bookmarkStart w:id="49" w:name="_Hlk128658621"/>
      <w:r>
        <w:rPr>
          <w:rFonts w:asciiTheme="minorEastAsia" w:hAnsiTheme="minorEastAsia" w:eastAsiaTheme="minorEastAsia"/>
          <w:sz w:val="21"/>
          <w:szCs w:val="21"/>
        </w:rPr>
        <w:t>A份额</w:t>
      </w:r>
      <w:bookmarkEnd w:id="49"/>
      <w:r>
        <w:rPr>
          <w:rFonts w:asciiTheme="minorEastAsia" w:hAnsiTheme="minorEastAsia" w:eastAsiaTheme="minorEastAsia"/>
          <w:sz w:val="21"/>
          <w:szCs w:val="21"/>
        </w:rPr>
        <w:t>为例，购买时单位净值为1.0000，折算份额为100,000.00份。产品到期时，若投资者持有的份额依然为100,000.00份（即存续期中未发生提前终止或提前赎回），扣除销售服务费、固定管理费、托管费等相关税费后，单位净值为1.0900，A份额存续期内无分红，此时，(1.0900÷1.0000-1)×365÷730=4.50%&lt;4.85%，则产品管理人不收取浮动管理费，</w:t>
      </w:r>
      <w:bookmarkStart w:id="50" w:name="_Hlk128658667"/>
      <w:bookmarkStart w:id="51" w:name="_Hlk128658659"/>
      <w:r>
        <w:rPr>
          <w:rFonts w:asciiTheme="minorEastAsia" w:hAnsiTheme="minorEastAsia" w:eastAsiaTheme="minorEastAsia"/>
          <w:sz w:val="21"/>
          <w:szCs w:val="21"/>
        </w:rPr>
        <w:t>A份额</w:t>
      </w:r>
      <w:bookmarkEnd w:id="50"/>
      <w:r>
        <w:rPr>
          <w:rFonts w:asciiTheme="minorEastAsia" w:hAnsiTheme="minorEastAsia" w:eastAsiaTheme="minorEastAsia"/>
          <w:sz w:val="21"/>
          <w:szCs w:val="21"/>
        </w:rPr>
        <w:t>投资者</w:t>
      </w:r>
      <w:bookmarkEnd w:id="51"/>
      <w:r>
        <w:rPr>
          <w:rFonts w:asciiTheme="minorEastAsia" w:hAnsiTheme="minorEastAsia" w:eastAsiaTheme="minorEastAsia"/>
          <w:sz w:val="21"/>
          <w:szCs w:val="21"/>
        </w:rPr>
        <w:t>最终收益为：</w:t>
      </w:r>
    </w:p>
    <w:p>
      <w:pPr>
        <w:snapToGrid w:val="0"/>
        <w:spacing w:line="440" w:lineRule="exact"/>
        <w:ind w:firstLine="420"/>
        <w:rPr>
          <w:rFonts w:asciiTheme="minorEastAsia" w:hAnsiTheme="minorEastAsia" w:eastAsiaTheme="minorEastAsia"/>
          <w:sz w:val="21"/>
          <w:szCs w:val="21"/>
        </w:rPr>
      </w:pPr>
      <w:r>
        <w:rPr>
          <w:rFonts w:asciiTheme="minorEastAsia" w:hAnsiTheme="minorEastAsia" w:eastAsiaTheme="minorEastAsia"/>
          <w:sz w:val="21"/>
          <w:szCs w:val="21"/>
        </w:rPr>
        <w:t>100,000.00×1.0900-100,000.00= 9,000.00元。</w:t>
      </w:r>
    </w:p>
    <w:p>
      <w:pPr>
        <w:snapToGrid w:val="0"/>
        <w:spacing w:line="440" w:lineRule="exact"/>
        <w:ind w:firstLine="420"/>
        <w:rPr>
          <w:rFonts w:asciiTheme="minorEastAsia" w:hAnsiTheme="minorEastAsia" w:eastAsiaTheme="minorEastAsia"/>
          <w:sz w:val="21"/>
          <w:szCs w:val="21"/>
        </w:rPr>
      </w:pPr>
      <w:r>
        <w:rPr>
          <w:rFonts w:asciiTheme="minorEastAsia" w:hAnsiTheme="minorEastAsia" w:eastAsiaTheme="minorEastAsia"/>
          <w:sz w:val="21"/>
          <w:szCs w:val="21"/>
        </w:rPr>
        <w:t>情景3：以某投资者投资10万元</w:t>
      </w:r>
      <w:bookmarkStart w:id="52" w:name="_Hlk128658675"/>
      <w:r>
        <w:rPr>
          <w:rFonts w:asciiTheme="minorEastAsia" w:hAnsiTheme="minorEastAsia" w:eastAsiaTheme="minorEastAsia"/>
          <w:sz w:val="21"/>
          <w:szCs w:val="21"/>
        </w:rPr>
        <w:t>A份额</w:t>
      </w:r>
      <w:bookmarkEnd w:id="52"/>
      <w:r>
        <w:rPr>
          <w:rFonts w:asciiTheme="minorEastAsia" w:hAnsiTheme="minorEastAsia" w:eastAsiaTheme="minorEastAsia"/>
          <w:sz w:val="21"/>
          <w:szCs w:val="21"/>
        </w:rPr>
        <w:t>为例，购买时单位净值为1.0000，折算份额为100,000.00份。产品到期时，若投资者持有的份额依然为100,000.00份（即存续期中未发生提前终止或提前赎回），扣除销售服务费、固定管理费、托管费等相关税费后，单位净值为0.9975，</w:t>
      </w:r>
      <w:bookmarkStart w:id="53" w:name="_Hlk153477290"/>
      <w:r>
        <w:rPr>
          <w:rFonts w:asciiTheme="minorEastAsia" w:hAnsiTheme="minorEastAsia" w:eastAsiaTheme="minorEastAsia"/>
          <w:sz w:val="21"/>
          <w:szCs w:val="21"/>
        </w:rPr>
        <w:t>A份额存续期内无分红，</w:t>
      </w:r>
      <w:bookmarkEnd w:id="53"/>
      <w:r>
        <w:rPr>
          <w:rFonts w:asciiTheme="minorEastAsia" w:hAnsiTheme="minorEastAsia" w:eastAsiaTheme="minorEastAsia"/>
          <w:sz w:val="21"/>
          <w:szCs w:val="21"/>
        </w:rPr>
        <w:t>则产品管理人不收取浮动管理费，</w:t>
      </w:r>
      <w:bookmarkStart w:id="54" w:name="_Hlk128661289"/>
      <w:r>
        <w:rPr>
          <w:rFonts w:asciiTheme="minorEastAsia" w:hAnsiTheme="minorEastAsia" w:eastAsiaTheme="minorEastAsia"/>
          <w:sz w:val="21"/>
          <w:szCs w:val="21"/>
        </w:rPr>
        <w:t>A份额</w:t>
      </w:r>
      <w:bookmarkEnd w:id="54"/>
      <w:r>
        <w:rPr>
          <w:rFonts w:asciiTheme="minorEastAsia" w:hAnsiTheme="minorEastAsia" w:eastAsiaTheme="minorEastAsia"/>
          <w:sz w:val="21"/>
          <w:szCs w:val="21"/>
        </w:rPr>
        <w:t>投资者最终收益为：</w:t>
      </w:r>
    </w:p>
    <w:p>
      <w:pPr>
        <w:snapToGrid w:val="0"/>
        <w:spacing w:line="440" w:lineRule="exact"/>
        <w:ind w:firstLine="420"/>
        <w:rPr>
          <w:rFonts w:asciiTheme="minorEastAsia" w:hAnsiTheme="minorEastAsia" w:eastAsiaTheme="minorEastAsia"/>
          <w:sz w:val="21"/>
          <w:szCs w:val="21"/>
        </w:rPr>
      </w:pPr>
      <w:r>
        <w:rPr>
          <w:rFonts w:asciiTheme="minorEastAsia" w:hAnsiTheme="minorEastAsia" w:eastAsiaTheme="minorEastAsia"/>
          <w:sz w:val="21"/>
          <w:szCs w:val="21"/>
        </w:rPr>
        <w:t>100,000.00×0.9975-100,000.00=-250.00元。</w:t>
      </w:r>
    </w:p>
    <w:p>
      <w:pPr>
        <w:snapToGrid w:val="0"/>
        <w:spacing w:line="440" w:lineRule="exact"/>
        <w:ind w:firstLine="420"/>
        <w:rPr>
          <w:rFonts w:asciiTheme="minorEastAsia" w:hAnsiTheme="minorEastAsia" w:eastAsiaTheme="minorEastAsia"/>
          <w:bCs/>
          <w:sz w:val="21"/>
          <w:szCs w:val="21"/>
        </w:rPr>
      </w:pPr>
      <w:r>
        <w:rPr>
          <w:rFonts w:asciiTheme="minorEastAsia" w:hAnsiTheme="minorEastAsia" w:eastAsiaTheme="minorEastAsia"/>
          <w:bCs/>
          <w:sz w:val="21"/>
          <w:szCs w:val="21"/>
        </w:rPr>
        <w:t>（上述示例采用假设数据计算，测算收益不等于实际收益，不代表以上的所有情形或某一情形一定会发生，投资者所能获得的收益以渝农商理财有限责任公司的实际支付为准。）</w:t>
      </w:r>
    </w:p>
    <w:p>
      <w:pPr>
        <w:snapToGrid w:val="0"/>
        <w:spacing w:line="440" w:lineRule="exact"/>
        <w:ind w:firstLine="420"/>
        <w:rPr>
          <w:rFonts w:asciiTheme="minorEastAsia" w:hAnsiTheme="minorEastAsia" w:eastAsiaTheme="minorEastAsia"/>
          <w:bCs/>
          <w:sz w:val="21"/>
          <w:szCs w:val="21"/>
        </w:rPr>
      </w:pPr>
      <w:r>
        <w:rPr>
          <w:rFonts w:asciiTheme="minorEastAsia" w:hAnsiTheme="minorEastAsia" w:eastAsiaTheme="minorEastAsia"/>
          <w:bCs/>
          <w:sz w:val="21"/>
          <w:szCs w:val="21"/>
        </w:rPr>
        <w:t>（四）产品到期日或提前终止日至资金到账日期间投资者资金不计息。</w:t>
      </w:r>
    </w:p>
    <w:p>
      <w:pPr>
        <w:snapToGrid w:val="0"/>
        <w:spacing w:line="440" w:lineRule="exact"/>
        <w:ind w:firstLine="422"/>
        <w:outlineLvl w:val="0"/>
        <w:rPr>
          <w:rFonts w:asciiTheme="minorEastAsia" w:hAnsiTheme="minorEastAsia" w:eastAsiaTheme="minorEastAsia"/>
          <w:b/>
          <w:sz w:val="21"/>
          <w:szCs w:val="21"/>
        </w:rPr>
      </w:pPr>
      <w:r>
        <w:rPr>
          <w:rFonts w:asciiTheme="minorEastAsia" w:hAnsiTheme="minorEastAsia" w:eastAsiaTheme="minorEastAsia"/>
          <w:b/>
          <w:sz w:val="21"/>
          <w:szCs w:val="21"/>
        </w:rPr>
        <w:t>六、理财产品估值</w:t>
      </w:r>
    </w:p>
    <w:p>
      <w:pPr>
        <w:snapToGrid w:val="0"/>
        <w:spacing w:line="440" w:lineRule="exact"/>
        <w:ind w:firstLine="420"/>
        <w:outlineLvl w:val="0"/>
        <w:rPr>
          <w:rFonts w:asciiTheme="minorEastAsia" w:hAnsiTheme="minorEastAsia" w:eastAsiaTheme="minorEastAsia"/>
          <w:bCs/>
          <w:sz w:val="21"/>
          <w:szCs w:val="21"/>
        </w:rPr>
      </w:pPr>
      <w:r>
        <w:rPr>
          <w:rFonts w:asciiTheme="minorEastAsia" w:hAnsiTheme="minorEastAsia" w:eastAsiaTheme="minorEastAsia"/>
          <w:bCs/>
          <w:sz w:val="21"/>
          <w:szCs w:val="21"/>
        </w:rPr>
        <w:t>（一）估值原则</w:t>
      </w:r>
    </w:p>
    <w:p>
      <w:pPr>
        <w:snapToGrid w:val="0"/>
        <w:spacing w:line="440" w:lineRule="exact"/>
        <w:ind w:firstLine="420"/>
        <w:outlineLvl w:val="0"/>
        <w:rPr>
          <w:rFonts w:asciiTheme="minorEastAsia" w:hAnsiTheme="minorEastAsia" w:eastAsiaTheme="minorEastAsia"/>
          <w:bCs/>
          <w:sz w:val="21"/>
          <w:szCs w:val="21"/>
        </w:rPr>
      </w:pPr>
      <w:r>
        <w:rPr>
          <w:rFonts w:asciiTheme="minorEastAsia" w:hAnsiTheme="minorEastAsia" w:eastAsiaTheme="minorEastAsia"/>
          <w:bCs/>
          <w:sz w:val="21"/>
          <w:szCs w:val="21"/>
        </w:rPr>
        <w:t>本产品估值的目的是公允、合理地反映理财产品的价值，估值中坚持公允价值计量原则。</w:t>
      </w:r>
    </w:p>
    <w:p>
      <w:pPr>
        <w:snapToGrid w:val="0"/>
        <w:spacing w:line="440" w:lineRule="exact"/>
        <w:ind w:firstLine="420"/>
        <w:outlineLvl w:val="0"/>
        <w:rPr>
          <w:rFonts w:asciiTheme="minorEastAsia" w:hAnsiTheme="minorEastAsia" w:eastAsiaTheme="minorEastAsia"/>
          <w:bCs/>
          <w:sz w:val="21"/>
          <w:szCs w:val="21"/>
        </w:rPr>
      </w:pPr>
      <w:r>
        <w:rPr>
          <w:rFonts w:asciiTheme="minorEastAsia" w:hAnsiTheme="minorEastAsia" w:eastAsiaTheme="minorEastAsia"/>
          <w:bCs/>
          <w:sz w:val="21"/>
          <w:szCs w:val="21"/>
        </w:rPr>
        <w:t>（二）估值日</w:t>
      </w:r>
    </w:p>
    <w:p>
      <w:pPr>
        <w:snapToGrid w:val="0"/>
        <w:spacing w:line="440" w:lineRule="exact"/>
        <w:ind w:firstLine="420"/>
        <w:outlineLvl w:val="0"/>
        <w:rPr>
          <w:rFonts w:asciiTheme="minorEastAsia" w:hAnsiTheme="minorEastAsia" w:eastAsiaTheme="minorEastAsia"/>
          <w:bCs/>
          <w:sz w:val="21"/>
          <w:szCs w:val="21"/>
        </w:rPr>
      </w:pPr>
      <w:r>
        <w:rPr>
          <w:rFonts w:asciiTheme="minorEastAsia" w:hAnsiTheme="minorEastAsia" w:eastAsiaTheme="minorEastAsia"/>
          <w:bCs/>
          <w:sz w:val="21"/>
          <w:szCs w:val="21"/>
        </w:rPr>
        <w:t>本理财产品估值日为每周五（如遇非工作日顺延至下一个工作日）及理财产品到期日或提前终止日。</w:t>
      </w:r>
    </w:p>
    <w:p>
      <w:pPr>
        <w:snapToGrid w:val="0"/>
        <w:spacing w:line="440" w:lineRule="exact"/>
        <w:ind w:firstLine="420"/>
        <w:outlineLvl w:val="0"/>
        <w:rPr>
          <w:rFonts w:asciiTheme="minorEastAsia" w:hAnsiTheme="minorEastAsia" w:eastAsiaTheme="minorEastAsia"/>
          <w:bCs/>
          <w:sz w:val="21"/>
          <w:szCs w:val="21"/>
        </w:rPr>
      </w:pPr>
      <w:r>
        <w:rPr>
          <w:rFonts w:asciiTheme="minorEastAsia" w:hAnsiTheme="minorEastAsia" w:eastAsiaTheme="minorEastAsia"/>
          <w:bCs/>
          <w:sz w:val="21"/>
          <w:szCs w:val="21"/>
        </w:rPr>
        <w:t>（三）估值对象</w:t>
      </w:r>
    </w:p>
    <w:p>
      <w:pPr>
        <w:snapToGrid w:val="0"/>
        <w:spacing w:line="440" w:lineRule="exact"/>
        <w:ind w:firstLine="420"/>
        <w:outlineLvl w:val="0"/>
        <w:rPr>
          <w:rFonts w:asciiTheme="minorEastAsia" w:hAnsiTheme="minorEastAsia" w:eastAsiaTheme="minorEastAsia"/>
          <w:bCs/>
          <w:sz w:val="21"/>
          <w:szCs w:val="21"/>
        </w:rPr>
      </w:pPr>
      <w:r>
        <w:rPr>
          <w:rFonts w:asciiTheme="minorEastAsia" w:hAnsiTheme="minorEastAsia" w:eastAsiaTheme="minorEastAsia"/>
          <w:bCs/>
          <w:sz w:val="21"/>
          <w:szCs w:val="21"/>
        </w:rPr>
        <w:t>理财产品所持有的各类有价证券、银行存款、应收款项、其它投资等资产及负债。</w:t>
      </w:r>
    </w:p>
    <w:p>
      <w:pPr>
        <w:snapToGrid w:val="0"/>
        <w:spacing w:line="440" w:lineRule="exact"/>
        <w:ind w:firstLine="420"/>
        <w:outlineLvl w:val="0"/>
        <w:rPr>
          <w:rFonts w:asciiTheme="minorEastAsia" w:hAnsiTheme="minorEastAsia" w:eastAsiaTheme="minorEastAsia"/>
          <w:bCs/>
          <w:sz w:val="21"/>
          <w:szCs w:val="21"/>
        </w:rPr>
      </w:pPr>
      <w:r>
        <w:rPr>
          <w:rFonts w:asciiTheme="minorEastAsia" w:hAnsiTheme="minorEastAsia" w:eastAsiaTheme="minorEastAsia"/>
          <w:bCs/>
          <w:sz w:val="21"/>
          <w:szCs w:val="21"/>
        </w:rPr>
        <w:t>（四）估值方法</w:t>
      </w:r>
    </w:p>
    <w:p>
      <w:pPr>
        <w:snapToGrid w:val="0"/>
        <w:spacing w:line="440" w:lineRule="exact"/>
        <w:ind w:firstLine="420"/>
        <w:outlineLvl w:val="0"/>
        <w:rPr>
          <w:rFonts w:asciiTheme="minorEastAsia" w:hAnsiTheme="minorEastAsia" w:eastAsiaTheme="minorEastAsia"/>
          <w:bCs/>
          <w:sz w:val="21"/>
          <w:szCs w:val="21"/>
        </w:rPr>
      </w:pPr>
      <w:r>
        <w:rPr>
          <w:rFonts w:asciiTheme="minorEastAsia" w:hAnsiTheme="minorEastAsia" w:eastAsiaTheme="minorEastAsia"/>
          <w:bCs/>
          <w:sz w:val="21"/>
          <w:szCs w:val="21"/>
        </w:rPr>
        <w:t>1、债券类资产</w:t>
      </w:r>
    </w:p>
    <w:p>
      <w:pPr>
        <w:snapToGrid w:val="0"/>
        <w:spacing w:line="440" w:lineRule="exact"/>
        <w:ind w:firstLine="420"/>
        <w:outlineLvl w:val="0"/>
        <w:rPr>
          <w:rFonts w:asciiTheme="minorEastAsia" w:hAnsiTheme="minorEastAsia" w:eastAsiaTheme="minorEastAsia"/>
          <w:bCs/>
          <w:sz w:val="21"/>
          <w:szCs w:val="21"/>
        </w:rPr>
      </w:pPr>
      <w:r>
        <w:rPr>
          <w:rFonts w:asciiTheme="minorEastAsia" w:hAnsiTheme="minorEastAsia" w:eastAsiaTheme="minorEastAsia"/>
          <w:bCs/>
          <w:sz w:val="21"/>
          <w:szCs w:val="21"/>
        </w:rPr>
        <w:t>原则上按照公允价值计量进行估值。其中，符合会计准则和相关监管政策规定的债券类资产可以使用摊余成本进行计量。</w:t>
      </w:r>
    </w:p>
    <w:p>
      <w:pPr>
        <w:snapToGrid w:val="0"/>
        <w:spacing w:line="440" w:lineRule="exact"/>
        <w:ind w:firstLine="420"/>
        <w:outlineLvl w:val="0"/>
        <w:rPr>
          <w:rFonts w:asciiTheme="minorEastAsia" w:hAnsiTheme="minorEastAsia" w:eastAsiaTheme="minorEastAsia"/>
          <w:bCs/>
          <w:sz w:val="21"/>
          <w:szCs w:val="21"/>
        </w:rPr>
      </w:pPr>
      <w:r>
        <w:rPr>
          <w:rFonts w:asciiTheme="minorEastAsia" w:hAnsiTheme="minorEastAsia" w:eastAsiaTheme="minorEastAsia"/>
          <w:bCs/>
          <w:sz w:val="21"/>
          <w:szCs w:val="21"/>
        </w:rPr>
        <w:t>公允价值的处理方法如下：</w:t>
      </w:r>
    </w:p>
    <w:p>
      <w:pPr>
        <w:snapToGrid w:val="0"/>
        <w:spacing w:line="440" w:lineRule="exact"/>
        <w:ind w:firstLine="420"/>
        <w:outlineLvl w:val="0"/>
        <w:rPr>
          <w:rFonts w:asciiTheme="minorEastAsia" w:hAnsiTheme="minorEastAsia" w:eastAsiaTheme="minorEastAsia"/>
          <w:bCs/>
          <w:sz w:val="21"/>
          <w:szCs w:val="21"/>
        </w:rPr>
      </w:pPr>
      <w:r>
        <w:rPr>
          <w:rFonts w:asciiTheme="minorEastAsia" w:hAnsiTheme="minorEastAsia" w:eastAsiaTheme="minorEastAsia"/>
          <w:bCs/>
          <w:sz w:val="21"/>
          <w:szCs w:val="21"/>
        </w:rPr>
        <w:t>（1）对在交易所市场实行净价交易的债券，采用第三方估值机构（中证指数有限公司）提供的估值价格。</w:t>
      </w:r>
    </w:p>
    <w:p>
      <w:pPr>
        <w:snapToGrid w:val="0"/>
        <w:spacing w:line="440" w:lineRule="exact"/>
        <w:ind w:firstLine="420"/>
        <w:outlineLvl w:val="0"/>
        <w:rPr>
          <w:rFonts w:asciiTheme="minorEastAsia" w:hAnsiTheme="minorEastAsia" w:eastAsiaTheme="minorEastAsia"/>
          <w:bCs/>
          <w:sz w:val="21"/>
          <w:szCs w:val="21"/>
        </w:rPr>
      </w:pPr>
      <w:r>
        <w:rPr>
          <w:rFonts w:asciiTheme="minorEastAsia" w:hAnsiTheme="minorEastAsia" w:eastAsiaTheme="minorEastAsia"/>
          <w:bCs/>
          <w:sz w:val="21"/>
          <w:szCs w:val="21"/>
        </w:rPr>
        <w:t>（2）证券交易所市场未实行净价交易的债券按估值日收盘价或第三方估值机构（中证指数有限公司）提供的相应品种的估值全价减去债券收盘价或估值全价中所含的债券应收利息得到的净价进行估值；估值日没有交易的，且最近交易日后经济环境未发生重大变化，按最近交易日债券收盘价或第三方估值机构（中证指数有限公司）提供的相应品种的估值全价减去债券收盘价或估值全价中所含的债券应收利息得到的净价进行估值。如最近交易日后经济环境发生了重大变化的，可参考类似投资品种的现行市价及重大变化因素，调整最近交易市价，确定公允价格。对在交易所市场发行未上市或未挂牌转让的债券，对存在活跃市场的情况下，应以活跃市场上未经调整的报价作为计量日的公允价值；对于活跃市场报价未能代表计量日公允价值的情况下，应对市场报价进行调整以确认计量日的公允价值；对于不存在市场活动或市场活动很少的情况下，则应采用估值技术确定其公允价值。</w:t>
      </w:r>
    </w:p>
    <w:p>
      <w:pPr>
        <w:snapToGrid w:val="0"/>
        <w:spacing w:line="440" w:lineRule="exact"/>
        <w:ind w:firstLine="420"/>
        <w:outlineLvl w:val="0"/>
        <w:rPr>
          <w:rFonts w:asciiTheme="minorEastAsia" w:hAnsiTheme="minorEastAsia" w:eastAsiaTheme="minorEastAsia"/>
          <w:bCs/>
          <w:sz w:val="21"/>
          <w:szCs w:val="21"/>
        </w:rPr>
      </w:pPr>
      <w:r>
        <w:rPr>
          <w:rFonts w:asciiTheme="minorEastAsia" w:hAnsiTheme="minorEastAsia" w:eastAsiaTheme="minorEastAsia"/>
          <w:bCs/>
          <w:sz w:val="21"/>
          <w:szCs w:val="21"/>
        </w:rPr>
        <w:t>（3）对银行间市场交易的债券，选取第三方估值机构（中央国债登记结算有限责任公司）提供的相应品种当日的估值净价估值。</w:t>
      </w:r>
    </w:p>
    <w:p>
      <w:pPr>
        <w:snapToGrid w:val="0"/>
        <w:spacing w:line="440" w:lineRule="exact"/>
        <w:ind w:firstLine="420"/>
        <w:outlineLvl w:val="0"/>
        <w:rPr>
          <w:rFonts w:asciiTheme="minorEastAsia" w:hAnsiTheme="minorEastAsia" w:eastAsiaTheme="minorEastAsia"/>
          <w:bCs/>
          <w:sz w:val="21"/>
          <w:szCs w:val="21"/>
        </w:rPr>
      </w:pPr>
      <w:r>
        <w:rPr>
          <w:rFonts w:asciiTheme="minorEastAsia" w:hAnsiTheme="minorEastAsia" w:eastAsiaTheme="minorEastAsia"/>
          <w:bCs/>
          <w:sz w:val="21"/>
          <w:szCs w:val="21"/>
        </w:rPr>
        <w:t>2、银行存款（含证券交易保证金）及回购（包含正、逆回购）以买入成本列示，按商定利率在实际持有期间内逐日计提利息。</w:t>
      </w:r>
    </w:p>
    <w:p>
      <w:pPr>
        <w:snapToGrid w:val="0"/>
        <w:spacing w:line="440" w:lineRule="exact"/>
        <w:ind w:firstLine="420"/>
        <w:outlineLvl w:val="0"/>
        <w:rPr>
          <w:rFonts w:asciiTheme="minorEastAsia" w:hAnsiTheme="minorEastAsia" w:eastAsiaTheme="minorEastAsia"/>
          <w:bCs/>
          <w:sz w:val="21"/>
          <w:szCs w:val="21"/>
        </w:rPr>
      </w:pPr>
      <w:r>
        <w:rPr>
          <w:rFonts w:asciiTheme="minorEastAsia" w:hAnsiTheme="minorEastAsia" w:eastAsiaTheme="minorEastAsia"/>
          <w:bCs/>
          <w:sz w:val="21"/>
          <w:szCs w:val="21"/>
        </w:rPr>
        <w:t>3、股票类资产</w:t>
      </w:r>
    </w:p>
    <w:p>
      <w:pPr>
        <w:snapToGrid w:val="0"/>
        <w:spacing w:line="440" w:lineRule="exact"/>
        <w:ind w:firstLine="420"/>
        <w:outlineLvl w:val="0"/>
        <w:rPr>
          <w:rFonts w:asciiTheme="minorEastAsia" w:hAnsiTheme="minorEastAsia" w:eastAsiaTheme="minorEastAsia"/>
          <w:bCs/>
          <w:sz w:val="21"/>
          <w:szCs w:val="21"/>
        </w:rPr>
      </w:pPr>
      <w:r>
        <w:rPr>
          <w:rFonts w:asciiTheme="minorEastAsia" w:hAnsiTheme="minorEastAsia" w:eastAsiaTheme="minorEastAsia"/>
          <w:bCs/>
          <w:sz w:val="21"/>
          <w:szCs w:val="21"/>
        </w:rPr>
        <w:t>在证券交易所上市流通的股票，估值日有交易的，按估值日收盘价估值；估值日无交易，且最近交易日后未发生影响公允价值计量的重大事件的，按最近交易日的收盘价估值。首次发行未上市的股票，在未上市期间按发行价格估值。送股、转增股、配股和公开增发新股等发行未上市且无明确限售期的股票，按估值日在证券交易所上市的同一股票的收盘价或最近交易日的收盘价确定公允价值。有明确限售期的股票，在限售期内，以证券交易所上市交易的同一股票的公允价值为基础，引入流动性折扣进行估值。</w:t>
      </w:r>
    </w:p>
    <w:p>
      <w:pPr>
        <w:snapToGrid w:val="0"/>
        <w:spacing w:line="440" w:lineRule="exact"/>
        <w:ind w:firstLine="420"/>
        <w:outlineLvl w:val="0"/>
        <w:rPr>
          <w:rFonts w:asciiTheme="minorEastAsia" w:hAnsiTheme="minorEastAsia" w:eastAsiaTheme="minorEastAsia"/>
          <w:bCs/>
          <w:sz w:val="21"/>
          <w:szCs w:val="21"/>
        </w:rPr>
      </w:pPr>
      <w:r>
        <w:rPr>
          <w:rFonts w:asciiTheme="minorEastAsia" w:hAnsiTheme="minorEastAsia" w:eastAsiaTheme="minorEastAsia"/>
          <w:bCs/>
          <w:sz w:val="21"/>
          <w:szCs w:val="21"/>
        </w:rPr>
        <w:t>4、投资于信托计划、资产管理计划等的资产</w:t>
      </w:r>
    </w:p>
    <w:p>
      <w:pPr>
        <w:snapToGrid w:val="0"/>
        <w:spacing w:line="440" w:lineRule="exact"/>
        <w:ind w:firstLine="420"/>
        <w:outlineLvl w:val="0"/>
        <w:rPr>
          <w:rFonts w:asciiTheme="minorEastAsia" w:hAnsiTheme="minorEastAsia" w:eastAsiaTheme="minorEastAsia"/>
          <w:bCs/>
          <w:sz w:val="21"/>
          <w:szCs w:val="21"/>
        </w:rPr>
      </w:pPr>
      <w:r>
        <w:rPr>
          <w:rFonts w:asciiTheme="minorEastAsia" w:hAnsiTheme="minorEastAsia" w:eastAsiaTheme="minorEastAsia"/>
          <w:bCs/>
          <w:sz w:val="21"/>
          <w:szCs w:val="21"/>
        </w:rPr>
        <w:t>按合同约定的估值方案，以信托计划的受托人、资产管理计划的管理人等和资产托管人共同确认的净值或投资收益情况进行估值。</w:t>
      </w:r>
    </w:p>
    <w:p>
      <w:pPr>
        <w:snapToGrid w:val="0"/>
        <w:spacing w:line="440" w:lineRule="exact"/>
        <w:ind w:firstLine="420"/>
        <w:outlineLvl w:val="0"/>
        <w:rPr>
          <w:rFonts w:asciiTheme="minorEastAsia" w:hAnsiTheme="minorEastAsia" w:eastAsiaTheme="minorEastAsia"/>
          <w:bCs/>
          <w:sz w:val="21"/>
          <w:szCs w:val="21"/>
        </w:rPr>
      </w:pPr>
      <w:r>
        <w:rPr>
          <w:rFonts w:asciiTheme="minorEastAsia" w:hAnsiTheme="minorEastAsia" w:eastAsiaTheme="minorEastAsia"/>
          <w:bCs/>
          <w:sz w:val="21"/>
          <w:szCs w:val="21"/>
        </w:rPr>
        <w:t>5、证券投资基金</w:t>
      </w:r>
    </w:p>
    <w:p>
      <w:pPr>
        <w:snapToGrid w:val="0"/>
        <w:spacing w:line="440" w:lineRule="exact"/>
        <w:ind w:firstLine="420"/>
        <w:outlineLvl w:val="0"/>
        <w:rPr>
          <w:rFonts w:asciiTheme="minorEastAsia" w:hAnsiTheme="minorEastAsia" w:eastAsiaTheme="minorEastAsia"/>
          <w:bCs/>
          <w:sz w:val="21"/>
          <w:szCs w:val="21"/>
        </w:rPr>
      </w:pPr>
      <w:r>
        <w:rPr>
          <w:rFonts w:asciiTheme="minorEastAsia" w:hAnsiTheme="minorEastAsia" w:eastAsiaTheme="minorEastAsia"/>
          <w:bCs/>
          <w:sz w:val="21"/>
          <w:szCs w:val="21"/>
        </w:rPr>
        <w:t>（1）非上市基金估值</w:t>
      </w:r>
    </w:p>
    <w:p>
      <w:pPr>
        <w:snapToGrid w:val="0"/>
        <w:spacing w:line="440" w:lineRule="exact"/>
        <w:ind w:firstLine="420"/>
        <w:outlineLvl w:val="0"/>
        <w:rPr>
          <w:rFonts w:asciiTheme="minorEastAsia" w:hAnsiTheme="minorEastAsia" w:eastAsiaTheme="minorEastAsia"/>
          <w:bCs/>
          <w:sz w:val="21"/>
          <w:szCs w:val="21"/>
        </w:rPr>
      </w:pPr>
      <w:r>
        <w:rPr>
          <w:rFonts w:asciiTheme="minorEastAsia" w:hAnsiTheme="minorEastAsia" w:eastAsiaTheme="minorEastAsia"/>
          <w:bCs/>
          <w:sz w:val="21"/>
          <w:szCs w:val="21"/>
        </w:rPr>
        <w:t>理财产品投资的境内非货币市场基金，按所投资基金估值日的份额净值估值；理财产品投资的境内货币市场基金，按所投资基金前一估值日后至估值日期间（含节假日）的万份收益计提估值日基金收益。</w:t>
      </w:r>
    </w:p>
    <w:p>
      <w:pPr>
        <w:snapToGrid w:val="0"/>
        <w:spacing w:line="440" w:lineRule="exact"/>
        <w:ind w:firstLine="420"/>
        <w:outlineLvl w:val="0"/>
        <w:rPr>
          <w:rFonts w:asciiTheme="minorEastAsia" w:hAnsiTheme="minorEastAsia" w:eastAsiaTheme="minorEastAsia"/>
          <w:bCs/>
          <w:sz w:val="21"/>
          <w:szCs w:val="21"/>
        </w:rPr>
      </w:pPr>
      <w:r>
        <w:rPr>
          <w:rFonts w:asciiTheme="minorEastAsia" w:hAnsiTheme="minorEastAsia" w:eastAsiaTheme="minorEastAsia"/>
          <w:bCs/>
          <w:sz w:val="21"/>
          <w:szCs w:val="21"/>
        </w:rPr>
        <w:t>（2）上市基金估值</w:t>
      </w:r>
    </w:p>
    <w:p>
      <w:pPr>
        <w:snapToGrid w:val="0"/>
        <w:spacing w:line="440" w:lineRule="exact"/>
        <w:ind w:firstLine="420"/>
        <w:outlineLvl w:val="0"/>
        <w:rPr>
          <w:rFonts w:asciiTheme="minorEastAsia" w:hAnsiTheme="minorEastAsia" w:eastAsiaTheme="minorEastAsia"/>
          <w:bCs/>
          <w:sz w:val="21"/>
          <w:szCs w:val="21"/>
        </w:rPr>
      </w:pPr>
      <w:r>
        <w:rPr>
          <w:rFonts w:asciiTheme="minorEastAsia" w:hAnsiTheme="minorEastAsia" w:eastAsiaTheme="minorEastAsia"/>
          <w:bCs/>
          <w:sz w:val="21"/>
          <w:szCs w:val="21"/>
        </w:rPr>
        <w:t>理财产品投资的ETF基金，按所投资ETF基金估值日的收盘价估值；理财产品投资的境内上市开放式基金（LOF），按所投资基金估值日的份额净值估值；理财产品投资的境内上市定期开放式基金、封闭式基金，按所投资基金估值日的收盘价估值；理财产品投资的境内上市交易型货币市场基金，如所投资基金披露份额净值，则按所投资基金估值日的份额净值估值；如所投资基金披露万份（百份）收益，则按所投资基金前一估值日后至估值日期间（含节假日）的万份（百份）收益计提估值日基金收益。</w:t>
      </w:r>
    </w:p>
    <w:p>
      <w:pPr>
        <w:snapToGrid w:val="0"/>
        <w:spacing w:line="440" w:lineRule="exact"/>
        <w:ind w:firstLine="420"/>
        <w:outlineLvl w:val="0"/>
        <w:rPr>
          <w:rFonts w:asciiTheme="minorEastAsia" w:hAnsiTheme="minorEastAsia" w:eastAsiaTheme="minorEastAsia"/>
          <w:bCs/>
          <w:sz w:val="21"/>
          <w:szCs w:val="21"/>
        </w:rPr>
      </w:pPr>
      <w:r>
        <w:rPr>
          <w:rFonts w:asciiTheme="minorEastAsia" w:hAnsiTheme="minorEastAsia" w:eastAsiaTheme="minorEastAsia"/>
          <w:bCs/>
          <w:sz w:val="21"/>
          <w:szCs w:val="21"/>
        </w:rPr>
        <w:t>（3）特殊情况处理</w:t>
      </w:r>
    </w:p>
    <w:p>
      <w:pPr>
        <w:snapToGrid w:val="0"/>
        <w:spacing w:line="440" w:lineRule="exact"/>
        <w:ind w:firstLine="420"/>
        <w:outlineLvl w:val="0"/>
        <w:rPr>
          <w:rFonts w:asciiTheme="minorEastAsia" w:hAnsiTheme="minorEastAsia" w:eastAsiaTheme="minorEastAsia"/>
          <w:bCs/>
          <w:sz w:val="21"/>
          <w:szCs w:val="21"/>
        </w:rPr>
      </w:pPr>
      <w:r>
        <w:rPr>
          <w:rFonts w:asciiTheme="minorEastAsia" w:hAnsiTheme="minorEastAsia" w:eastAsiaTheme="minorEastAsia"/>
          <w:bCs/>
          <w:sz w:val="21"/>
          <w:szCs w:val="21"/>
        </w:rPr>
        <w:t>如遇所投资基金不公布基金份额净值、进行折算或拆分、估值日无交易等特殊情况，理财产品管理人根据以下原则进行估值：</w:t>
      </w:r>
    </w:p>
    <w:p>
      <w:pPr>
        <w:snapToGrid w:val="0"/>
        <w:spacing w:line="440" w:lineRule="exact"/>
        <w:ind w:firstLine="420"/>
        <w:outlineLvl w:val="0"/>
        <w:rPr>
          <w:rFonts w:asciiTheme="minorEastAsia" w:hAnsiTheme="minorEastAsia" w:eastAsiaTheme="minorEastAsia"/>
          <w:bCs/>
          <w:sz w:val="21"/>
          <w:szCs w:val="21"/>
        </w:rPr>
      </w:pPr>
      <w:r>
        <w:rPr>
          <w:rFonts w:asciiTheme="minorEastAsia" w:hAnsiTheme="minorEastAsia" w:eastAsiaTheme="minorEastAsia"/>
          <w:bCs/>
          <w:sz w:val="21"/>
          <w:szCs w:val="21"/>
        </w:rPr>
        <w:t>（a）以所投资基金的基金份额净值估值的，若所投资基金与理财产品估值频率一致但未公布估值日基金份额净值，按其最近公布的基金份额净值为基础估值。</w:t>
      </w:r>
    </w:p>
    <w:p>
      <w:pPr>
        <w:snapToGrid w:val="0"/>
        <w:spacing w:line="440" w:lineRule="exact"/>
        <w:ind w:firstLine="420"/>
        <w:outlineLvl w:val="0"/>
        <w:rPr>
          <w:rFonts w:asciiTheme="minorEastAsia" w:hAnsiTheme="minorEastAsia" w:eastAsiaTheme="minorEastAsia"/>
          <w:bCs/>
          <w:sz w:val="21"/>
          <w:szCs w:val="21"/>
        </w:rPr>
      </w:pPr>
      <w:r>
        <w:rPr>
          <w:rFonts w:asciiTheme="minorEastAsia" w:hAnsiTheme="minorEastAsia" w:eastAsiaTheme="minorEastAsia"/>
          <w:bCs/>
          <w:sz w:val="21"/>
          <w:szCs w:val="21"/>
        </w:rPr>
        <w:t>（b）以所投资基金的收盘价估值的，若估值日无交易，且最近交易日后市场环境未发生重大变化，按最近交易日的收盘价估值；如最近交易日后市场环境发生了重大变化的，可使用最新的基金份额净值为基础或参考类似投资品种的现行市价及重大变化因素调整最近交易市价，确定公允价值。</w:t>
      </w:r>
    </w:p>
    <w:p>
      <w:pPr>
        <w:snapToGrid w:val="0"/>
        <w:spacing w:line="440" w:lineRule="exact"/>
        <w:ind w:firstLine="420"/>
        <w:outlineLvl w:val="0"/>
        <w:rPr>
          <w:rFonts w:asciiTheme="minorEastAsia" w:hAnsiTheme="minorEastAsia" w:eastAsiaTheme="minorEastAsia"/>
          <w:bCs/>
          <w:sz w:val="21"/>
          <w:szCs w:val="21"/>
        </w:rPr>
      </w:pPr>
      <w:r>
        <w:rPr>
          <w:rFonts w:asciiTheme="minorEastAsia" w:hAnsiTheme="minorEastAsia" w:eastAsiaTheme="minorEastAsia"/>
          <w:bCs/>
          <w:sz w:val="21"/>
          <w:szCs w:val="21"/>
        </w:rPr>
        <w:t>（c）如果所投资基金前一估值日至估值日期间发生分红除权、折算或拆分，理财产品管理人应根据基金份额净值或收盘价、单位基金份额分红金额、折算拆分比例、持仓份额等因素合理确定公允价值。</w:t>
      </w:r>
    </w:p>
    <w:p>
      <w:pPr>
        <w:snapToGrid w:val="0"/>
        <w:spacing w:line="440" w:lineRule="exact"/>
        <w:ind w:firstLine="420"/>
        <w:outlineLvl w:val="0"/>
        <w:rPr>
          <w:rFonts w:asciiTheme="minorEastAsia" w:hAnsiTheme="minorEastAsia" w:eastAsiaTheme="minorEastAsia"/>
          <w:bCs/>
          <w:sz w:val="21"/>
          <w:szCs w:val="21"/>
        </w:rPr>
      </w:pPr>
      <w:r>
        <w:rPr>
          <w:rFonts w:asciiTheme="minorEastAsia" w:hAnsiTheme="minorEastAsia" w:eastAsiaTheme="minorEastAsia"/>
          <w:bCs/>
          <w:sz w:val="21"/>
          <w:szCs w:val="21"/>
        </w:rPr>
        <w:t>（d）当理财产品管理人认为所投资基金按上述（a）（b）（c）进行估值存在不公允时，在法律法规允许的范围内，应与托管人协商一致采用合理的估值技术或估值标准确定其公允价值。</w:t>
      </w:r>
    </w:p>
    <w:p>
      <w:pPr>
        <w:snapToGrid w:val="0"/>
        <w:spacing w:line="440" w:lineRule="exact"/>
        <w:ind w:firstLine="420"/>
        <w:outlineLvl w:val="0"/>
        <w:rPr>
          <w:rFonts w:asciiTheme="minorEastAsia" w:hAnsiTheme="minorEastAsia" w:eastAsiaTheme="minorEastAsia"/>
          <w:bCs/>
          <w:sz w:val="21"/>
          <w:szCs w:val="21"/>
        </w:rPr>
      </w:pPr>
      <w:r>
        <w:rPr>
          <w:rFonts w:asciiTheme="minorEastAsia" w:hAnsiTheme="minorEastAsia" w:eastAsiaTheme="minorEastAsia"/>
          <w:bCs/>
          <w:sz w:val="21"/>
          <w:szCs w:val="21"/>
        </w:rPr>
        <w:t>6、若理财产品存续期间持有其他投资品种，以理财产品管理人和理财产品托管人共同认可的方法计算其价值。</w:t>
      </w:r>
    </w:p>
    <w:p>
      <w:pPr>
        <w:snapToGrid w:val="0"/>
        <w:spacing w:line="440" w:lineRule="exact"/>
        <w:ind w:firstLine="420"/>
        <w:outlineLvl w:val="0"/>
        <w:rPr>
          <w:rFonts w:asciiTheme="minorEastAsia" w:hAnsiTheme="minorEastAsia" w:eastAsiaTheme="minorEastAsia"/>
          <w:bCs/>
          <w:sz w:val="21"/>
          <w:szCs w:val="21"/>
        </w:rPr>
      </w:pPr>
      <w:r>
        <w:rPr>
          <w:rFonts w:asciiTheme="minorEastAsia" w:hAnsiTheme="minorEastAsia" w:eastAsiaTheme="minorEastAsia"/>
          <w:bCs/>
          <w:sz w:val="21"/>
          <w:szCs w:val="21"/>
        </w:rPr>
        <w:t>7、国家有最新规定的，按其规定进行估值。</w:t>
      </w:r>
    </w:p>
    <w:p>
      <w:pPr>
        <w:snapToGrid w:val="0"/>
        <w:spacing w:line="440" w:lineRule="exact"/>
        <w:ind w:firstLine="420"/>
        <w:outlineLvl w:val="0"/>
        <w:rPr>
          <w:rFonts w:asciiTheme="minorEastAsia" w:hAnsiTheme="minorEastAsia" w:eastAsiaTheme="minorEastAsia"/>
          <w:bCs/>
          <w:sz w:val="21"/>
          <w:szCs w:val="21"/>
        </w:rPr>
      </w:pPr>
      <w:r>
        <w:rPr>
          <w:rFonts w:asciiTheme="minorEastAsia" w:hAnsiTheme="minorEastAsia" w:eastAsiaTheme="minorEastAsia"/>
          <w:bCs/>
          <w:sz w:val="21"/>
          <w:szCs w:val="21"/>
        </w:rPr>
        <w:t>8、在任何情况下，如采用以上规定的方法对资产进行估值，均应被认为采用了适当的估值方法。该产品估值均以产品公布的估值结果为准。但是，如果理财产品管理人或理财产品托管人认为按以上规定的方法对理财产品资产进行估值不能客观反映其公允价值的，可提出动议，协商一致后，变更公允价值的确定方式，并从经理财产品管理人与托管人协商一致日起执行。</w:t>
      </w:r>
    </w:p>
    <w:p>
      <w:pPr>
        <w:snapToGrid w:val="0"/>
        <w:spacing w:line="440" w:lineRule="exact"/>
        <w:ind w:firstLine="420"/>
        <w:outlineLvl w:val="0"/>
        <w:rPr>
          <w:rFonts w:asciiTheme="minorEastAsia" w:hAnsiTheme="minorEastAsia" w:eastAsiaTheme="minorEastAsia"/>
          <w:bCs/>
          <w:sz w:val="21"/>
          <w:szCs w:val="21"/>
        </w:rPr>
      </w:pPr>
      <w:r>
        <w:rPr>
          <w:rFonts w:asciiTheme="minorEastAsia" w:hAnsiTheme="minorEastAsia" w:eastAsiaTheme="minorEastAsia"/>
          <w:bCs/>
          <w:sz w:val="21"/>
          <w:szCs w:val="21"/>
        </w:rPr>
        <w:t>（五）估值错误的处理</w:t>
      </w:r>
    </w:p>
    <w:p>
      <w:pPr>
        <w:pStyle w:val="19"/>
        <w:snapToGrid w:val="0"/>
        <w:spacing w:before="0" w:beforeAutospacing="0" w:after="0" w:afterAutospacing="0" w:line="440" w:lineRule="exact"/>
        <w:ind w:firstLine="420" w:firstLineChars="200"/>
        <w:rPr>
          <w:rFonts w:cs="Times New Roman" w:asciiTheme="minorEastAsia" w:hAnsiTheme="minorEastAsia" w:eastAsiaTheme="minorEastAsia"/>
          <w:bCs/>
          <w:kern w:val="2"/>
          <w:sz w:val="21"/>
          <w:szCs w:val="21"/>
        </w:rPr>
      </w:pPr>
      <w:r>
        <w:rPr>
          <w:rFonts w:cs="Times New Roman" w:asciiTheme="minorEastAsia" w:hAnsiTheme="minorEastAsia" w:eastAsiaTheme="minorEastAsia"/>
          <w:bCs/>
          <w:kern w:val="2"/>
          <w:sz w:val="21"/>
          <w:szCs w:val="21"/>
        </w:rPr>
        <w:t>理财产品管理人和理财产品托管人将采取必要、适当、合理的措施确保理财产品估值的准确性、及时性。当理财产品单位净值小数点后4位以内（含第4位）发生估值错误时，视为理财产品单位净值错误。</w:t>
      </w:r>
    </w:p>
    <w:p>
      <w:pPr>
        <w:pStyle w:val="19"/>
        <w:snapToGrid w:val="0"/>
        <w:spacing w:before="0" w:beforeAutospacing="0" w:after="0" w:afterAutospacing="0" w:line="440" w:lineRule="exact"/>
        <w:ind w:firstLine="420"/>
        <w:rPr>
          <w:rFonts w:cs="Times New Roman" w:asciiTheme="minorEastAsia" w:hAnsiTheme="minorEastAsia" w:eastAsiaTheme="minorEastAsia"/>
          <w:bCs/>
          <w:kern w:val="2"/>
          <w:sz w:val="21"/>
          <w:szCs w:val="21"/>
        </w:rPr>
      </w:pPr>
      <w:r>
        <w:rPr>
          <w:rFonts w:cs="Times New Roman" w:asciiTheme="minorEastAsia" w:hAnsiTheme="minorEastAsia" w:eastAsiaTheme="minorEastAsia"/>
          <w:bCs/>
          <w:kern w:val="2"/>
          <w:sz w:val="21"/>
          <w:szCs w:val="21"/>
        </w:rPr>
        <w:t>1、估值错误处理原则</w:t>
      </w:r>
    </w:p>
    <w:p>
      <w:pPr>
        <w:pStyle w:val="19"/>
        <w:snapToGrid w:val="0"/>
        <w:spacing w:before="0" w:beforeAutospacing="0" w:after="0" w:afterAutospacing="0" w:line="440" w:lineRule="exact"/>
        <w:ind w:firstLine="424"/>
        <w:rPr>
          <w:rFonts w:cs="Times New Roman" w:asciiTheme="minorEastAsia" w:hAnsiTheme="minorEastAsia" w:eastAsiaTheme="minorEastAsia"/>
          <w:bCs/>
          <w:kern w:val="2"/>
          <w:sz w:val="21"/>
          <w:szCs w:val="21"/>
        </w:rPr>
      </w:pPr>
      <w:r>
        <w:rPr>
          <w:rFonts w:cs="Times New Roman" w:asciiTheme="minorEastAsia" w:hAnsiTheme="minorEastAsia" w:eastAsiaTheme="minorEastAsia"/>
          <w:bCs/>
          <w:kern w:val="2"/>
          <w:sz w:val="21"/>
          <w:szCs w:val="21"/>
        </w:rPr>
        <w:t>（1）由于理财产品管理人或理财产品托管人自身的过错造成估值错误，导致投资者遭受损失的，由估值错误责任方按照各自过错程度对该估值错误导致投资者遭受的直接损失给予赔偿，承担赔偿责任。</w:t>
      </w:r>
    </w:p>
    <w:p>
      <w:pPr>
        <w:pStyle w:val="19"/>
        <w:snapToGrid w:val="0"/>
        <w:spacing w:before="0" w:beforeAutospacing="0" w:after="0" w:afterAutospacing="0" w:line="440" w:lineRule="exact"/>
        <w:ind w:firstLine="404"/>
        <w:rPr>
          <w:rFonts w:cs="Times New Roman" w:asciiTheme="minorEastAsia" w:hAnsiTheme="minorEastAsia" w:eastAsiaTheme="minorEastAsia"/>
          <w:bCs/>
          <w:kern w:val="2"/>
          <w:sz w:val="21"/>
          <w:szCs w:val="21"/>
        </w:rPr>
      </w:pPr>
      <w:r>
        <w:rPr>
          <w:rFonts w:cs="Times New Roman" w:asciiTheme="minorEastAsia" w:hAnsiTheme="minorEastAsia" w:eastAsiaTheme="minorEastAsia"/>
          <w:bCs/>
          <w:kern w:val="2"/>
          <w:sz w:val="21"/>
          <w:szCs w:val="21"/>
        </w:rPr>
        <w:t>（2）对于因技术原因引起的差错，若系同行业现有技术水平无法预见、无法避免、无法抗拒，属不可抗力。</w:t>
      </w:r>
      <w:r>
        <w:rPr>
          <w:rFonts w:cs="Times New Roman" w:asciiTheme="minorEastAsia" w:hAnsiTheme="minorEastAsia" w:eastAsiaTheme="minorEastAsia"/>
          <w:b/>
          <w:kern w:val="2"/>
          <w:sz w:val="21"/>
          <w:szCs w:val="21"/>
        </w:rPr>
        <w:t>因不可抗力原因出现差错的当事人不对投资者承担赔偿责任，但因该差错取得不当得利的投资者仍应负有返还不当得利的义务。</w:t>
      </w:r>
    </w:p>
    <w:p>
      <w:pPr>
        <w:pStyle w:val="19"/>
        <w:snapToGrid w:val="0"/>
        <w:spacing w:before="0" w:beforeAutospacing="0" w:after="0" w:afterAutospacing="0" w:line="440" w:lineRule="exact"/>
        <w:ind w:firstLine="404"/>
        <w:rPr>
          <w:rFonts w:cs="Times New Roman" w:asciiTheme="minorEastAsia" w:hAnsiTheme="minorEastAsia" w:eastAsiaTheme="minorEastAsia"/>
          <w:bCs/>
          <w:kern w:val="2"/>
          <w:sz w:val="21"/>
          <w:szCs w:val="21"/>
        </w:rPr>
      </w:pPr>
      <w:r>
        <w:rPr>
          <w:rFonts w:cs="Times New Roman" w:asciiTheme="minorEastAsia" w:hAnsiTheme="minorEastAsia" w:eastAsiaTheme="minorEastAsia"/>
          <w:bCs/>
          <w:kern w:val="2"/>
          <w:sz w:val="21"/>
          <w:szCs w:val="21"/>
        </w:rPr>
        <w:t>（3）因理财产品托管人估值错误造成财产损失时，理财产品管理人应向托管人追偿。若理财产品管理人和理财产品托管人之外的第三方估值差错造成财产的损失，并拒绝进行赔偿时，理财产品由理财产品管理人负责向差错方追偿；追偿过程中产生的有关费用，应列入理财产品费用，由理财产品承担。</w:t>
      </w:r>
    </w:p>
    <w:p>
      <w:pPr>
        <w:pStyle w:val="19"/>
        <w:snapToGrid w:val="0"/>
        <w:spacing w:before="0" w:beforeAutospacing="0" w:after="0" w:afterAutospacing="0" w:line="440" w:lineRule="exact"/>
        <w:ind w:firstLine="404"/>
        <w:rPr>
          <w:rFonts w:cs="Times New Roman" w:asciiTheme="minorEastAsia" w:hAnsiTheme="minorEastAsia" w:eastAsiaTheme="minorEastAsia"/>
          <w:bCs/>
          <w:kern w:val="2"/>
          <w:sz w:val="21"/>
          <w:szCs w:val="21"/>
        </w:rPr>
      </w:pPr>
      <w:r>
        <w:rPr>
          <w:rFonts w:cs="Times New Roman" w:asciiTheme="minorEastAsia" w:hAnsiTheme="minorEastAsia" w:eastAsiaTheme="minorEastAsia"/>
          <w:bCs/>
          <w:kern w:val="2"/>
          <w:sz w:val="21"/>
          <w:szCs w:val="21"/>
        </w:rPr>
        <w:t>（4）当估值出现错误时，因估值错误而获得不当得利的投资者负有及时返还不当得利的义务。</w:t>
      </w:r>
    </w:p>
    <w:p>
      <w:pPr>
        <w:pStyle w:val="19"/>
        <w:snapToGrid w:val="0"/>
        <w:spacing w:before="0" w:beforeAutospacing="0" w:after="0" w:afterAutospacing="0" w:line="440" w:lineRule="exact"/>
        <w:ind w:firstLine="404"/>
        <w:rPr>
          <w:rFonts w:cs="Times New Roman" w:asciiTheme="minorEastAsia" w:hAnsiTheme="minorEastAsia" w:eastAsiaTheme="minorEastAsia"/>
          <w:bCs/>
          <w:kern w:val="2"/>
          <w:sz w:val="21"/>
          <w:szCs w:val="21"/>
        </w:rPr>
      </w:pPr>
      <w:r>
        <w:rPr>
          <w:rFonts w:cs="Times New Roman" w:asciiTheme="minorEastAsia" w:hAnsiTheme="minorEastAsia" w:eastAsiaTheme="minorEastAsia"/>
          <w:bCs/>
          <w:kern w:val="2"/>
          <w:sz w:val="21"/>
          <w:szCs w:val="21"/>
        </w:rPr>
        <w:t>（5）按法律法规规定的其他原则处理估值错误。</w:t>
      </w:r>
    </w:p>
    <w:p>
      <w:pPr>
        <w:pStyle w:val="19"/>
        <w:snapToGrid w:val="0"/>
        <w:spacing w:before="0" w:beforeAutospacing="0" w:after="0" w:afterAutospacing="0" w:line="440" w:lineRule="exact"/>
        <w:ind w:firstLine="404"/>
        <w:rPr>
          <w:rFonts w:cs="Times New Roman" w:asciiTheme="minorEastAsia" w:hAnsiTheme="minorEastAsia" w:eastAsiaTheme="minorEastAsia"/>
          <w:bCs/>
          <w:kern w:val="2"/>
          <w:sz w:val="21"/>
          <w:szCs w:val="21"/>
        </w:rPr>
      </w:pPr>
      <w:r>
        <w:rPr>
          <w:rFonts w:cs="Times New Roman" w:asciiTheme="minorEastAsia" w:hAnsiTheme="minorEastAsia" w:eastAsiaTheme="minorEastAsia"/>
          <w:bCs/>
          <w:kern w:val="2"/>
          <w:sz w:val="21"/>
          <w:szCs w:val="21"/>
        </w:rPr>
        <w:t xml:space="preserve"> 2、估值错误处理程序</w:t>
      </w:r>
    </w:p>
    <w:p>
      <w:pPr>
        <w:pStyle w:val="19"/>
        <w:snapToGrid w:val="0"/>
        <w:spacing w:before="0" w:beforeAutospacing="0" w:after="0" w:afterAutospacing="0" w:line="440" w:lineRule="exact"/>
        <w:ind w:firstLine="404"/>
        <w:rPr>
          <w:rFonts w:cs="Times New Roman" w:asciiTheme="minorEastAsia" w:hAnsiTheme="minorEastAsia" w:eastAsiaTheme="minorEastAsia"/>
          <w:bCs/>
          <w:kern w:val="2"/>
          <w:sz w:val="21"/>
          <w:szCs w:val="21"/>
        </w:rPr>
      </w:pPr>
      <w:r>
        <w:rPr>
          <w:rFonts w:cs="Times New Roman" w:asciiTheme="minorEastAsia" w:hAnsiTheme="minorEastAsia" w:eastAsiaTheme="minorEastAsia"/>
          <w:bCs/>
          <w:kern w:val="2"/>
          <w:sz w:val="21"/>
          <w:szCs w:val="21"/>
        </w:rPr>
        <w:t>估值错误被发现后，理财产品管理人和理财产品托管人应当及时进行处理，处理的程序如下：</w:t>
      </w:r>
    </w:p>
    <w:p>
      <w:pPr>
        <w:pStyle w:val="19"/>
        <w:snapToGrid w:val="0"/>
        <w:spacing w:before="0" w:beforeAutospacing="0" w:after="0" w:afterAutospacing="0" w:line="440" w:lineRule="exact"/>
        <w:ind w:firstLine="404"/>
        <w:rPr>
          <w:rFonts w:cs="Times New Roman" w:asciiTheme="minorEastAsia" w:hAnsiTheme="minorEastAsia" w:eastAsiaTheme="minorEastAsia"/>
          <w:bCs/>
          <w:kern w:val="2"/>
          <w:sz w:val="21"/>
          <w:szCs w:val="21"/>
        </w:rPr>
      </w:pPr>
      <w:r>
        <w:rPr>
          <w:rFonts w:cs="Times New Roman" w:asciiTheme="minorEastAsia" w:hAnsiTheme="minorEastAsia" w:eastAsiaTheme="minorEastAsia"/>
          <w:bCs/>
          <w:kern w:val="2"/>
          <w:sz w:val="21"/>
          <w:szCs w:val="21"/>
        </w:rPr>
        <w:t>（1）查明估值错误发生的原因，列明所有的管理人和托管人并根据估值错误发生的原因确定估值错误的责任方；</w:t>
      </w:r>
    </w:p>
    <w:p>
      <w:pPr>
        <w:pStyle w:val="19"/>
        <w:snapToGrid w:val="0"/>
        <w:spacing w:before="0" w:beforeAutospacing="0" w:after="0" w:afterAutospacing="0" w:line="440" w:lineRule="exact"/>
        <w:ind w:firstLine="404"/>
        <w:rPr>
          <w:rFonts w:cs="Times New Roman" w:asciiTheme="minorEastAsia" w:hAnsiTheme="minorEastAsia" w:eastAsiaTheme="minorEastAsia"/>
          <w:bCs/>
          <w:kern w:val="2"/>
          <w:sz w:val="21"/>
          <w:szCs w:val="21"/>
        </w:rPr>
      </w:pPr>
      <w:r>
        <w:rPr>
          <w:rFonts w:cs="Times New Roman" w:asciiTheme="minorEastAsia" w:hAnsiTheme="minorEastAsia" w:eastAsiaTheme="minorEastAsia"/>
          <w:bCs/>
          <w:kern w:val="2"/>
          <w:sz w:val="21"/>
          <w:szCs w:val="21"/>
        </w:rPr>
        <w:t>（2）根据估值错误处理原则对因估值错误造成的损失进行评估；</w:t>
      </w:r>
    </w:p>
    <w:p>
      <w:pPr>
        <w:pStyle w:val="19"/>
        <w:snapToGrid w:val="0"/>
        <w:spacing w:before="0" w:beforeAutospacing="0" w:after="0" w:afterAutospacing="0" w:line="440" w:lineRule="exact"/>
        <w:ind w:firstLine="404"/>
        <w:rPr>
          <w:rFonts w:cs="Times New Roman" w:asciiTheme="minorEastAsia" w:hAnsiTheme="minorEastAsia" w:eastAsiaTheme="minorEastAsia"/>
          <w:bCs/>
          <w:kern w:val="2"/>
          <w:sz w:val="21"/>
          <w:szCs w:val="21"/>
        </w:rPr>
      </w:pPr>
      <w:r>
        <w:rPr>
          <w:rFonts w:cs="Times New Roman" w:asciiTheme="minorEastAsia" w:hAnsiTheme="minorEastAsia" w:eastAsiaTheme="minorEastAsia"/>
          <w:bCs/>
          <w:kern w:val="2"/>
          <w:sz w:val="21"/>
          <w:szCs w:val="21"/>
        </w:rPr>
        <w:t>（3）根据理财产品管理人和理财产品托管人协商的方法，由理财产品管理人和理财产品托管人共同进行更正，由估值错误的责任方进行赔偿损失。</w:t>
      </w:r>
    </w:p>
    <w:p>
      <w:pPr>
        <w:snapToGrid w:val="0"/>
        <w:spacing w:line="440" w:lineRule="exact"/>
        <w:ind w:firstLine="420"/>
        <w:outlineLvl w:val="0"/>
        <w:rPr>
          <w:rFonts w:asciiTheme="minorEastAsia" w:hAnsiTheme="minorEastAsia" w:eastAsiaTheme="minorEastAsia"/>
          <w:bCs/>
          <w:sz w:val="21"/>
          <w:szCs w:val="21"/>
        </w:rPr>
      </w:pPr>
      <w:r>
        <w:rPr>
          <w:rFonts w:asciiTheme="minorEastAsia" w:hAnsiTheme="minorEastAsia" w:eastAsiaTheme="minorEastAsia"/>
          <w:bCs/>
          <w:sz w:val="21"/>
          <w:szCs w:val="21"/>
        </w:rPr>
        <w:t>（六）暂停估值</w:t>
      </w:r>
    </w:p>
    <w:p>
      <w:pPr>
        <w:pStyle w:val="19"/>
        <w:snapToGrid w:val="0"/>
        <w:spacing w:before="0" w:beforeAutospacing="0" w:after="0" w:afterAutospacing="0" w:line="440" w:lineRule="exact"/>
        <w:ind w:firstLine="404"/>
        <w:rPr>
          <w:rFonts w:cs="Times New Roman" w:asciiTheme="minorEastAsia" w:hAnsiTheme="minorEastAsia" w:eastAsiaTheme="minorEastAsia"/>
          <w:b/>
          <w:kern w:val="2"/>
          <w:sz w:val="21"/>
          <w:szCs w:val="21"/>
        </w:rPr>
      </w:pPr>
      <w:r>
        <w:rPr>
          <w:rFonts w:cs="Times New Roman" w:asciiTheme="minorEastAsia" w:hAnsiTheme="minorEastAsia" w:eastAsiaTheme="minorEastAsia"/>
          <w:b/>
          <w:kern w:val="2"/>
          <w:sz w:val="21"/>
          <w:szCs w:val="21"/>
        </w:rPr>
        <w:t>当产品资产的估值因不可抗力或其它情形致使产品管理人、托管人无法准确评估产品资产价值时或监管机构认定的其它情形，产品管理人可暂停产品的估值直至另行通知。</w:t>
      </w:r>
    </w:p>
    <w:p>
      <w:pPr>
        <w:snapToGrid w:val="0"/>
        <w:spacing w:line="440" w:lineRule="exact"/>
        <w:ind w:firstLine="422"/>
        <w:outlineLvl w:val="0"/>
        <w:rPr>
          <w:rFonts w:asciiTheme="minorEastAsia" w:hAnsiTheme="minorEastAsia" w:eastAsiaTheme="minorEastAsia"/>
          <w:b/>
          <w:bCs/>
          <w:sz w:val="21"/>
          <w:szCs w:val="21"/>
        </w:rPr>
      </w:pPr>
      <w:r>
        <w:rPr>
          <w:rFonts w:asciiTheme="minorEastAsia" w:hAnsiTheme="minorEastAsia" w:eastAsiaTheme="minorEastAsia"/>
          <w:b/>
          <w:bCs/>
          <w:sz w:val="21"/>
          <w:szCs w:val="21"/>
        </w:rPr>
        <w:t>七、信息披露</w:t>
      </w:r>
    </w:p>
    <w:p>
      <w:pPr>
        <w:snapToGrid w:val="0"/>
        <w:spacing w:line="440" w:lineRule="exact"/>
        <w:ind w:firstLine="420"/>
        <w:rPr>
          <w:rFonts w:asciiTheme="minorEastAsia" w:hAnsiTheme="minorEastAsia" w:eastAsiaTheme="minorEastAsia"/>
          <w:bCs/>
          <w:sz w:val="21"/>
          <w:szCs w:val="21"/>
        </w:rPr>
      </w:pPr>
      <w:r>
        <w:rPr>
          <w:rFonts w:asciiTheme="minorEastAsia" w:hAnsiTheme="minorEastAsia" w:eastAsiaTheme="minorEastAsia"/>
          <w:bCs/>
          <w:sz w:val="21"/>
          <w:szCs w:val="21"/>
        </w:rPr>
        <w:t>（一）信息披露渠道</w:t>
      </w:r>
    </w:p>
    <w:p>
      <w:pPr>
        <w:snapToGrid w:val="0"/>
        <w:spacing w:line="440" w:lineRule="exact"/>
        <w:ind w:firstLine="422"/>
        <w:rPr>
          <w:rFonts w:asciiTheme="minorEastAsia" w:hAnsiTheme="minorEastAsia" w:eastAsiaTheme="minorEastAsia"/>
          <w:sz w:val="21"/>
          <w:szCs w:val="21"/>
        </w:rPr>
      </w:pPr>
      <w:r>
        <w:rPr>
          <w:rFonts w:asciiTheme="minorEastAsia" w:hAnsiTheme="minorEastAsia" w:eastAsiaTheme="minorEastAsia"/>
          <w:b/>
          <w:bCs/>
          <w:sz w:val="21"/>
          <w:szCs w:val="21"/>
        </w:rPr>
        <w:t>本理财产品的公开信息披露将通过</w:t>
      </w:r>
      <w:r>
        <w:fldChar w:fldCharType="begin"/>
      </w:r>
      <w:r>
        <w:instrText xml:space="preserve"> HYPERLINK "NULL" </w:instrText>
      </w:r>
      <w:r>
        <w:fldChar w:fldCharType="separate"/>
      </w:r>
      <w:r>
        <w:fldChar w:fldCharType="end"/>
      </w:r>
      <w:r>
        <w:rPr>
          <w:rFonts w:asciiTheme="minorEastAsia" w:hAnsiTheme="minorEastAsia" w:eastAsiaTheme="minorEastAsia"/>
          <w:b/>
          <w:bCs/>
          <w:sz w:val="21"/>
          <w:szCs w:val="21"/>
        </w:rPr>
        <w:t>渝农商理财有限责任公司网站（wm.cqrcb.com）、代理销售机构相关渠道（包括但不限于代理销售机构的网站、电子销售渠道等）</w:t>
      </w:r>
      <w:r>
        <w:rPr>
          <w:rFonts w:hint="eastAsia" w:asciiTheme="minorEastAsia" w:hAnsiTheme="minorEastAsia" w:eastAsiaTheme="minorEastAsia"/>
          <w:b/>
          <w:bCs/>
          <w:sz w:val="21"/>
          <w:szCs w:val="21"/>
        </w:rPr>
        <w:t>进</w:t>
      </w:r>
      <w:r>
        <w:rPr>
          <w:rFonts w:asciiTheme="minorEastAsia" w:hAnsiTheme="minorEastAsia" w:eastAsiaTheme="minorEastAsia"/>
          <w:b/>
          <w:bCs/>
          <w:sz w:val="21"/>
          <w:szCs w:val="21"/>
        </w:rPr>
        <w:t>行。该等披露视为渝农商理财有限责任公司已向投资者完全履行信息披露义务。投资者应充分关注并及时主动查询渝农商理财有限责任公司披露的本产品相关信息。</w:t>
      </w:r>
      <w:r>
        <w:rPr>
          <w:rFonts w:asciiTheme="minorEastAsia" w:hAnsiTheme="minorEastAsia" w:eastAsiaTheme="minorEastAsia"/>
          <w:sz w:val="21"/>
          <w:szCs w:val="21"/>
        </w:rPr>
        <w:t>投资者预留的有效联系方式发生变更的，亦应及时通知销售（代理销售）机构。如果投资者未及时查询相关信息，或预留联系方式变更未及时通知销售（代理销售）机构，</w:t>
      </w:r>
      <w:r>
        <w:rPr>
          <w:rFonts w:asciiTheme="minorEastAsia" w:hAnsiTheme="minorEastAsia" w:eastAsiaTheme="minorEastAsia"/>
          <w:b/>
          <w:bCs/>
          <w:sz w:val="21"/>
          <w:szCs w:val="21"/>
        </w:rPr>
        <w:t>或由于不可抗力、意外事件等因素的影响使得投资者无法及时了解产品信息，可能会影响投资者的投资决策，因此而产生的全部责任和风险由投资者自行承担。</w:t>
      </w:r>
    </w:p>
    <w:p>
      <w:pPr>
        <w:snapToGrid w:val="0"/>
        <w:spacing w:line="440" w:lineRule="exact"/>
        <w:ind w:firstLine="420"/>
        <w:rPr>
          <w:rFonts w:asciiTheme="minorEastAsia" w:hAnsiTheme="minorEastAsia" w:eastAsiaTheme="minorEastAsia"/>
          <w:sz w:val="21"/>
          <w:szCs w:val="21"/>
        </w:rPr>
      </w:pPr>
      <w:r>
        <w:rPr>
          <w:rFonts w:asciiTheme="minorEastAsia" w:hAnsiTheme="minorEastAsia" w:eastAsiaTheme="minorEastAsia"/>
          <w:sz w:val="21"/>
          <w:szCs w:val="21"/>
        </w:rPr>
        <w:t>（二）理财产品信息披露内容和时间</w:t>
      </w:r>
    </w:p>
    <w:p>
      <w:pPr>
        <w:snapToGrid w:val="0"/>
        <w:spacing w:line="440" w:lineRule="exact"/>
        <w:ind w:firstLine="420"/>
        <w:rPr>
          <w:rFonts w:asciiTheme="minorEastAsia" w:hAnsiTheme="minorEastAsia" w:eastAsiaTheme="minorEastAsia"/>
          <w:sz w:val="21"/>
          <w:szCs w:val="21"/>
        </w:rPr>
      </w:pPr>
      <w:r>
        <w:rPr>
          <w:rFonts w:asciiTheme="minorEastAsia" w:hAnsiTheme="minorEastAsia" w:eastAsiaTheme="minorEastAsia"/>
          <w:sz w:val="21"/>
          <w:szCs w:val="21"/>
        </w:rPr>
        <w:t>1、发行公告：渝农商理财有限责任公司在本产品成立后5个工作日内公布本产品发行公告。</w:t>
      </w:r>
    </w:p>
    <w:p>
      <w:pPr>
        <w:snapToGrid w:val="0"/>
        <w:spacing w:line="440" w:lineRule="exact"/>
        <w:ind w:firstLine="420"/>
        <w:rPr>
          <w:rFonts w:asciiTheme="minorEastAsia" w:hAnsiTheme="minorEastAsia" w:eastAsiaTheme="minorEastAsia"/>
          <w:bCs/>
          <w:sz w:val="21"/>
          <w:szCs w:val="21"/>
        </w:rPr>
      </w:pPr>
      <w:r>
        <w:rPr>
          <w:rFonts w:asciiTheme="minorEastAsia" w:hAnsiTheme="minorEastAsia" w:eastAsiaTheme="minorEastAsia"/>
          <w:bCs/>
          <w:sz w:val="21"/>
          <w:szCs w:val="21"/>
        </w:rPr>
        <w:t>2、到期公告：</w:t>
      </w:r>
      <w:r>
        <w:rPr>
          <w:rFonts w:asciiTheme="minorEastAsia" w:hAnsiTheme="minorEastAsia" w:eastAsiaTheme="minorEastAsia"/>
          <w:sz w:val="21"/>
          <w:szCs w:val="21"/>
        </w:rPr>
        <w:t>渝农商理财有限责任公司在</w:t>
      </w:r>
      <w:r>
        <w:rPr>
          <w:rFonts w:asciiTheme="minorEastAsia" w:hAnsiTheme="minorEastAsia" w:eastAsiaTheme="minorEastAsia"/>
          <w:bCs/>
          <w:sz w:val="21"/>
          <w:szCs w:val="21"/>
        </w:rPr>
        <w:t>本产品到期后5个工作日内公布本产品到期公告。</w:t>
      </w:r>
    </w:p>
    <w:p>
      <w:pPr>
        <w:snapToGrid w:val="0"/>
        <w:spacing w:line="440" w:lineRule="exact"/>
        <w:ind w:firstLine="420"/>
        <w:rPr>
          <w:rFonts w:asciiTheme="minorEastAsia" w:hAnsiTheme="minorEastAsia" w:eastAsiaTheme="minorEastAsia"/>
          <w:sz w:val="21"/>
          <w:szCs w:val="21"/>
        </w:rPr>
      </w:pPr>
      <w:r>
        <w:rPr>
          <w:rFonts w:asciiTheme="minorEastAsia" w:hAnsiTheme="minorEastAsia" w:eastAsiaTheme="minorEastAsia"/>
          <w:sz w:val="21"/>
          <w:szCs w:val="21"/>
        </w:rPr>
        <w:t>3、净值公告：渝农商理财有限责任公司在每周五（如遇非工作日顺延至下一个工作日）后的2</w:t>
      </w:r>
      <w:bookmarkStart w:id="55" w:name="_Hlk152882228"/>
      <w:r>
        <w:rPr>
          <w:rFonts w:asciiTheme="minorEastAsia" w:hAnsiTheme="minorEastAsia" w:eastAsiaTheme="minorEastAsia"/>
          <w:sz w:val="21"/>
          <w:szCs w:val="21"/>
        </w:rPr>
        <w:t>个</w:t>
      </w:r>
      <w:bookmarkEnd w:id="55"/>
      <w:r>
        <w:rPr>
          <w:rFonts w:asciiTheme="minorEastAsia" w:hAnsiTheme="minorEastAsia" w:eastAsiaTheme="minorEastAsia"/>
          <w:sz w:val="21"/>
          <w:szCs w:val="21"/>
        </w:rPr>
        <w:t xml:space="preserve">工作日内披露本理财产品的份额净值等。 </w:t>
      </w:r>
    </w:p>
    <w:p>
      <w:pPr>
        <w:snapToGrid w:val="0"/>
        <w:spacing w:line="440" w:lineRule="exact"/>
        <w:ind w:firstLine="420"/>
        <w:rPr>
          <w:rFonts w:asciiTheme="minorEastAsia" w:hAnsiTheme="minorEastAsia" w:eastAsiaTheme="minorEastAsia"/>
          <w:bCs/>
          <w:sz w:val="21"/>
          <w:szCs w:val="21"/>
        </w:rPr>
      </w:pPr>
      <w:r>
        <w:rPr>
          <w:rFonts w:asciiTheme="minorEastAsia" w:hAnsiTheme="minorEastAsia" w:eastAsiaTheme="minorEastAsia"/>
          <w:bCs/>
          <w:sz w:val="21"/>
          <w:szCs w:val="21"/>
        </w:rPr>
        <w:t>4、定期报告：</w:t>
      </w:r>
      <w:r>
        <w:rPr>
          <w:rFonts w:asciiTheme="minorEastAsia" w:hAnsiTheme="minorEastAsia" w:eastAsiaTheme="minorEastAsia"/>
          <w:sz w:val="21"/>
          <w:szCs w:val="21"/>
        </w:rPr>
        <w:t>渝农商理财有限责任公司</w:t>
      </w:r>
      <w:r>
        <w:rPr>
          <w:rFonts w:asciiTheme="minorEastAsia" w:hAnsiTheme="minorEastAsia" w:eastAsiaTheme="minorEastAsia"/>
          <w:bCs/>
          <w:sz w:val="21"/>
          <w:szCs w:val="21"/>
        </w:rPr>
        <w:t>在每季度结束之日起15个工作日内公布上季度末产品的季度报告，在上半年结束之日起60个工作日内公布产品半年度报告，在每年结束之日起90个工作日内公布产品年度报告，向投资者披露投资状况、投资表现、风险状况等信息。逢半年末，半年报与当季季度报告合并；逢年末，年度报告与半年度报告合并。理财产品成立不足90个工作日或者剩余存续期不超过90个工作日的，</w:t>
      </w:r>
      <w:r>
        <w:rPr>
          <w:rFonts w:asciiTheme="minorEastAsia" w:hAnsiTheme="minorEastAsia" w:eastAsiaTheme="minorEastAsia"/>
          <w:sz w:val="21"/>
          <w:szCs w:val="21"/>
        </w:rPr>
        <w:t>渝农商理财有限责任公司</w:t>
      </w:r>
      <w:r>
        <w:rPr>
          <w:rFonts w:asciiTheme="minorEastAsia" w:hAnsiTheme="minorEastAsia" w:eastAsiaTheme="minorEastAsia"/>
          <w:bCs/>
          <w:sz w:val="21"/>
          <w:szCs w:val="21"/>
        </w:rPr>
        <w:t>可以不编制理财产品当期的季度、半年和年度报告。</w:t>
      </w:r>
    </w:p>
    <w:p>
      <w:pPr>
        <w:snapToGrid w:val="0"/>
        <w:spacing w:line="440" w:lineRule="exact"/>
        <w:ind w:firstLine="420"/>
        <w:rPr>
          <w:rFonts w:asciiTheme="minorEastAsia" w:hAnsiTheme="minorEastAsia" w:eastAsiaTheme="minorEastAsia"/>
          <w:bCs/>
          <w:sz w:val="21"/>
          <w:szCs w:val="21"/>
        </w:rPr>
      </w:pPr>
      <w:r>
        <w:rPr>
          <w:rFonts w:asciiTheme="minorEastAsia" w:hAnsiTheme="minorEastAsia" w:eastAsiaTheme="minorEastAsia"/>
          <w:bCs/>
          <w:sz w:val="21"/>
          <w:szCs w:val="21"/>
        </w:rPr>
        <w:t>5、重大事项公告：在发生可能对本理财产品投资者或者理财产品收益产生重大影响的事件后2个工作日内发布重大事项公告。</w:t>
      </w:r>
    </w:p>
    <w:p>
      <w:pPr>
        <w:snapToGrid w:val="0"/>
        <w:spacing w:line="440" w:lineRule="exact"/>
        <w:ind w:firstLine="420"/>
        <w:rPr>
          <w:rFonts w:asciiTheme="minorEastAsia" w:hAnsiTheme="minorEastAsia" w:eastAsiaTheme="minorEastAsia"/>
          <w:sz w:val="21"/>
          <w:szCs w:val="21"/>
        </w:rPr>
      </w:pPr>
      <w:r>
        <w:rPr>
          <w:rFonts w:asciiTheme="minorEastAsia" w:hAnsiTheme="minorEastAsia" w:eastAsiaTheme="minorEastAsia"/>
          <w:bCs/>
          <w:sz w:val="21"/>
          <w:szCs w:val="21"/>
        </w:rPr>
        <w:t>6、临时性信息披露：若发生理财产品不成立、变更募集期、提前终止、规模调整等经</w:t>
      </w:r>
      <w:r>
        <w:rPr>
          <w:rFonts w:asciiTheme="minorEastAsia" w:hAnsiTheme="minorEastAsia" w:eastAsiaTheme="minorEastAsia"/>
          <w:sz w:val="21"/>
          <w:szCs w:val="21"/>
        </w:rPr>
        <w:t>渝农商理财有限责任公司</w:t>
      </w:r>
      <w:r>
        <w:rPr>
          <w:rFonts w:asciiTheme="minorEastAsia" w:hAnsiTheme="minorEastAsia" w:eastAsiaTheme="minorEastAsia"/>
          <w:bCs/>
          <w:sz w:val="21"/>
          <w:szCs w:val="21"/>
        </w:rPr>
        <w:t>判断可能对投资者产生影响的事项时，或按法律法规、监管政策规定必须披露的，</w:t>
      </w:r>
      <w:r>
        <w:rPr>
          <w:rFonts w:asciiTheme="minorEastAsia" w:hAnsiTheme="minorEastAsia" w:eastAsiaTheme="minorEastAsia"/>
          <w:sz w:val="21"/>
          <w:szCs w:val="21"/>
        </w:rPr>
        <w:t>渝农商理财有限责任公司</w:t>
      </w:r>
      <w:r>
        <w:rPr>
          <w:rFonts w:asciiTheme="minorEastAsia" w:hAnsiTheme="minorEastAsia" w:eastAsiaTheme="minorEastAsia"/>
          <w:bCs/>
          <w:sz w:val="21"/>
          <w:szCs w:val="21"/>
        </w:rPr>
        <w:t>将及时进行临时信息披露。</w:t>
      </w:r>
    </w:p>
    <w:p>
      <w:pPr>
        <w:snapToGrid w:val="0"/>
        <w:spacing w:line="440" w:lineRule="exact"/>
        <w:ind w:firstLine="422"/>
        <w:outlineLvl w:val="0"/>
        <w:rPr>
          <w:rFonts w:asciiTheme="minorEastAsia" w:hAnsiTheme="minorEastAsia" w:eastAsiaTheme="minorEastAsia"/>
          <w:b/>
          <w:bCs/>
          <w:sz w:val="21"/>
          <w:szCs w:val="21"/>
        </w:rPr>
      </w:pPr>
      <w:r>
        <w:rPr>
          <w:rFonts w:asciiTheme="minorEastAsia" w:hAnsiTheme="minorEastAsia" w:eastAsiaTheme="minorEastAsia"/>
          <w:b/>
          <w:bCs/>
          <w:sz w:val="21"/>
          <w:szCs w:val="21"/>
        </w:rPr>
        <w:t>八、其他事项</w:t>
      </w:r>
    </w:p>
    <w:p>
      <w:pPr>
        <w:snapToGrid w:val="0"/>
        <w:spacing w:line="440" w:lineRule="exact"/>
        <w:ind w:firstLine="420"/>
        <w:rPr>
          <w:rFonts w:asciiTheme="minorEastAsia" w:hAnsiTheme="minorEastAsia" w:eastAsiaTheme="minorEastAsia"/>
          <w:bCs/>
          <w:sz w:val="21"/>
          <w:szCs w:val="21"/>
        </w:rPr>
      </w:pPr>
      <w:bookmarkStart w:id="56" w:name="_Hlk38481213"/>
      <w:r>
        <w:rPr>
          <w:rFonts w:asciiTheme="minorEastAsia" w:hAnsiTheme="minorEastAsia" w:eastAsiaTheme="minorEastAsia"/>
          <w:bCs/>
          <w:sz w:val="21"/>
          <w:szCs w:val="21"/>
        </w:rPr>
        <w:t>（一）</w:t>
      </w:r>
      <w:r>
        <w:rPr>
          <w:rFonts w:asciiTheme="minorEastAsia" w:hAnsiTheme="minorEastAsia" w:eastAsiaTheme="minorEastAsia"/>
          <w:sz w:val="21"/>
          <w:szCs w:val="21"/>
        </w:rPr>
        <w:t>投资者可通过销售（代理销售）机构在产品存续期内查询所持有的理财产品账单等相关信息。</w:t>
      </w:r>
    </w:p>
    <w:p>
      <w:pPr>
        <w:snapToGrid w:val="0"/>
        <w:spacing w:line="440" w:lineRule="exact"/>
        <w:ind w:firstLine="420"/>
        <w:rPr>
          <w:rFonts w:asciiTheme="minorEastAsia" w:hAnsiTheme="minorEastAsia" w:eastAsiaTheme="minorEastAsia"/>
          <w:bCs/>
          <w:sz w:val="21"/>
          <w:szCs w:val="21"/>
        </w:rPr>
      </w:pPr>
      <w:r>
        <w:rPr>
          <w:rFonts w:asciiTheme="minorEastAsia" w:hAnsiTheme="minorEastAsia" w:eastAsiaTheme="minorEastAsia"/>
          <w:bCs/>
          <w:sz w:val="21"/>
          <w:szCs w:val="21"/>
        </w:rPr>
        <w:t>（二）投资者有义务及时核对所收到的任何款项，以及</w:t>
      </w:r>
      <w:r>
        <w:rPr>
          <w:rFonts w:asciiTheme="minorEastAsia" w:hAnsiTheme="minorEastAsia" w:eastAsiaTheme="minorEastAsia"/>
          <w:sz w:val="21"/>
          <w:szCs w:val="21"/>
        </w:rPr>
        <w:t>渝农商理财有限责任公司</w:t>
      </w:r>
      <w:r>
        <w:rPr>
          <w:rFonts w:asciiTheme="minorEastAsia" w:hAnsiTheme="minorEastAsia" w:eastAsiaTheme="minorEastAsia"/>
          <w:bCs/>
          <w:sz w:val="21"/>
          <w:szCs w:val="21"/>
        </w:rPr>
        <w:t>向投资者提供的相关信息资料是否准确。如投资者有疑义，应在</w:t>
      </w:r>
      <w:r>
        <w:rPr>
          <w:rFonts w:asciiTheme="minorEastAsia" w:hAnsiTheme="minorEastAsia" w:eastAsiaTheme="minorEastAsia"/>
          <w:sz w:val="21"/>
          <w:szCs w:val="21"/>
        </w:rPr>
        <w:t>渝农商理财有限责任公司</w:t>
      </w:r>
      <w:r>
        <w:rPr>
          <w:rFonts w:asciiTheme="minorEastAsia" w:hAnsiTheme="minorEastAsia" w:eastAsiaTheme="minorEastAsia"/>
          <w:bCs/>
          <w:sz w:val="21"/>
          <w:szCs w:val="21"/>
        </w:rPr>
        <w:t>发出相关信息资料后的30日内提出；如投资者在前述期限内未提出的，视为投资者无疑义。但除非存在明显的计算错误，本产品的款项以</w:t>
      </w:r>
      <w:r>
        <w:rPr>
          <w:rFonts w:asciiTheme="minorEastAsia" w:hAnsiTheme="minorEastAsia" w:eastAsiaTheme="minorEastAsia"/>
          <w:sz w:val="21"/>
          <w:szCs w:val="21"/>
        </w:rPr>
        <w:t>渝农商理财有限责任公司</w:t>
      </w:r>
      <w:r>
        <w:rPr>
          <w:rFonts w:asciiTheme="minorEastAsia" w:hAnsiTheme="minorEastAsia" w:eastAsiaTheme="minorEastAsia"/>
          <w:bCs/>
          <w:sz w:val="21"/>
          <w:szCs w:val="21"/>
        </w:rPr>
        <w:t>记载为准。</w:t>
      </w:r>
    </w:p>
    <w:p>
      <w:pPr>
        <w:snapToGrid w:val="0"/>
        <w:spacing w:line="440" w:lineRule="exact"/>
        <w:ind w:firstLine="420"/>
        <w:rPr>
          <w:rFonts w:asciiTheme="minorEastAsia" w:hAnsiTheme="minorEastAsia" w:eastAsiaTheme="minorEastAsia"/>
          <w:sz w:val="21"/>
          <w:szCs w:val="21"/>
        </w:rPr>
      </w:pPr>
      <w:r>
        <w:rPr>
          <w:rFonts w:asciiTheme="minorEastAsia" w:hAnsiTheme="minorEastAsia" w:eastAsiaTheme="minorEastAsia"/>
          <w:sz w:val="21"/>
          <w:szCs w:val="21"/>
        </w:rPr>
        <w:t>（三）渝农商理财有限责任公司应当依法履行投资者信息保密义务。非经投资者事先许可，不得向第三方披露，除法律法规另有规定或有权机关另有要求外。投资者在此同意并授权，渝农商理财有限责任公司可根据监管要求，为理财产品登记需要，向登记部门或监管机构提供投资者相关信息。</w:t>
      </w:r>
    </w:p>
    <w:p>
      <w:pPr>
        <w:snapToGrid w:val="0"/>
        <w:spacing w:line="440" w:lineRule="exact"/>
        <w:ind w:firstLine="420"/>
        <w:rPr>
          <w:rFonts w:asciiTheme="minorEastAsia" w:hAnsiTheme="minorEastAsia" w:eastAsiaTheme="minorEastAsia"/>
          <w:sz w:val="21"/>
          <w:szCs w:val="21"/>
        </w:rPr>
      </w:pPr>
      <w:r>
        <w:rPr>
          <w:rFonts w:asciiTheme="minorEastAsia" w:hAnsiTheme="minorEastAsia" w:eastAsiaTheme="minorEastAsia"/>
          <w:sz w:val="21"/>
          <w:szCs w:val="21"/>
        </w:rPr>
        <w:t>（四）渝农商理财有限责任公司统一社会信用代码【91500105MA610TKW7P】</w:t>
      </w:r>
      <w:r>
        <w:rPr>
          <w:rFonts w:asciiTheme="minorEastAsia" w:hAnsiTheme="minorEastAsia" w:eastAsiaTheme="minorEastAsia"/>
          <w:color w:val="000000"/>
          <w:sz w:val="21"/>
          <w:szCs w:val="21"/>
        </w:rPr>
        <w:t>；</w:t>
      </w:r>
      <w:r>
        <w:rPr>
          <w:rFonts w:asciiTheme="minorEastAsia" w:hAnsiTheme="minorEastAsia" w:eastAsiaTheme="minorEastAsia"/>
          <w:sz w:val="21"/>
          <w:szCs w:val="21"/>
        </w:rPr>
        <w:t>渝农商理财有限责任公司金融机构代码【Z0028H250000001】。</w:t>
      </w:r>
    </w:p>
    <w:p>
      <w:pPr>
        <w:snapToGrid w:val="0"/>
        <w:spacing w:line="440" w:lineRule="exact"/>
        <w:ind w:firstLine="422"/>
        <w:rPr>
          <w:rFonts w:asciiTheme="minorEastAsia" w:hAnsiTheme="minorEastAsia" w:eastAsiaTheme="minorEastAsia"/>
          <w:b/>
          <w:bCs/>
          <w:sz w:val="21"/>
          <w:szCs w:val="21"/>
        </w:rPr>
      </w:pPr>
      <w:r>
        <w:rPr>
          <w:rFonts w:asciiTheme="minorEastAsia" w:hAnsiTheme="minorEastAsia" w:eastAsiaTheme="minorEastAsia"/>
          <w:b/>
          <w:bCs/>
          <w:sz w:val="21"/>
          <w:szCs w:val="21"/>
        </w:rPr>
        <w:t>（五）如需咨询或投诉请通过投资者权益须知上载明的渠道反馈。</w:t>
      </w:r>
    </w:p>
    <w:bookmarkEnd w:id="56"/>
    <w:p>
      <w:pPr>
        <w:snapToGrid w:val="0"/>
        <w:spacing w:line="440" w:lineRule="exact"/>
        <w:ind w:firstLine="420"/>
        <w:rPr>
          <w:rFonts w:asciiTheme="minorEastAsia" w:hAnsiTheme="minorEastAsia" w:eastAsiaTheme="minorEastAsia"/>
          <w:sz w:val="21"/>
          <w:szCs w:val="21"/>
        </w:rPr>
      </w:pPr>
    </w:p>
    <w:p>
      <w:pPr>
        <w:snapToGrid w:val="0"/>
        <w:spacing w:line="440" w:lineRule="exact"/>
        <w:ind w:firstLine="5565" w:firstLineChars="2650"/>
        <w:rPr>
          <w:rFonts w:asciiTheme="minorEastAsia" w:hAnsiTheme="minorEastAsia" w:eastAsiaTheme="minorEastAsia"/>
          <w:sz w:val="21"/>
          <w:szCs w:val="21"/>
        </w:rPr>
      </w:pPr>
    </w:p>
    <w:p>
      <w:pPr>
        <w:snapToGrid w:val="0"/>
        <w:spacing w:line="440" w:lineRule="exact"/>
        <w:ind w:firstLine="420"/>
        <w:rPr>
          <w:rFonts w:asciiTheme="minorEastAsia" w:hAnsiTheme="minorEastAsia" w:eastAsiaTheme="minorEastAsia"/>
          <w:sz w:val="21"/>
          <w:szCs w:val="21"/>
        </w:rPr>
      </w:pPr>
      <w:r>
        <w:rPr>
          <w:rFonts w:asciiTheme="minorEastAsia" w:hAnsiTheme="minorEastAsia" w:eastAsiaTheme="minorEastAsia"/>
          <w:sz w:val="21"/>
          <w:szCs w:val="21"/>
        </w:rPr>
        <w:t>个人投资者签字：</w:t>
      </w:r>
    </w:p>
    <w:p>
      <w:pPr>
        <w:snapToGrid w:val="0"/>
        <w:spacing w:line="440" w:lineRule="exact"/>
        <w:ind w:firstLine="420"/>
        <w:rPr>
          <w:rFonts w:asciiTheme="minorEastAsia" w:hAnsiTheme="minorEastAsia" w:eastAsiaTheme="minorEastAsia"/>
          <w:sz w:val="21"/>
          <w:szCs w:val="21"/>
        </w:rPr>
      </w:pPr>
    </w:p>
    <w:p>
      <w:pPr>
        <w:snapToGrid w:val="0"/>
        <w:spacing w:line="440" w:lineRule="exact"/>
        <w:ind w:firstLine="420"/>
        <w:rPr>
          <w:rFonts w:asciiTheme="minorEastAsia" w:hAnsiTheme="minorEastAsia" w:eastAsiaTheme="minorEastAsia"/>
          <w:sz w:val="21"/>
          <w:szCs w:val="21"/>
        </w:rPr>
      </w:pPr>
      <w:r>
        <w:rPr>
          <w:rFonts w:asciiTheme="minorEastAsia" w:hAnsiTheme="minorEastAsia" w:eastAsiaTheme="minorEastAsia"/>
          <w:sz w:val="21"/>
          <w:szCs w:val="21"/>
        </w:rPr>
        <w:t>机构投资者（盖章）：</w:t>
      </w:r>
    </w:p>
    <w:p>
      <w:pPr>
        <w:snapToGrid w:val="0"/>
        <w:spacing w:line="440" w:lineRule="exact"/>
        <w:ind w:firstLine="420"/>
        <w:rPr>
          <w:rFonts w:asciiTheme="minorEastAsia" w:hAnsiTheme="minorEastAsia" w:eastAsiaTheme="minorEastAsia"/>
          <w:sz w:val="21"/>
          <w:szCs w:val="21"/>
        </w:rPr>
      </w:pPr>
    </w:p>
    <w:p>
      <w:pPr>
        <w:snapToGrid w:val="0"/>
        <w:spacing w:line="440" w:lineRule="exact"/>
        <w:ind w:firstLine="420"/>
        <w:rPr>
          <w:rFonts w:asciiTheme="minorEastAsia" w:hAnsiTheme="minorEastAsia" w:eastAsiaTheme="minorEastAsia"/>
          <w:sz w:val="21"/>
          <w:szCs w:val="21"/>
        </w:rPr>
      </w:pPr>
      <w:r>
        <w:rPr>
          <w:rFonts w:asciiTheme="minorEastAsia" w:hAnsiTheme="minorEastAsia" w:eastAsiaTheme="minorEastAsia"/>
          <w:sz w:val="21"/>
          <w:szCs w:val="21"/>
        </w:rPr>
        <w:t>机构投资者法定代表人或授权代表（签字或盖章）:</w:t>
      </w:r>
    </w:p>
    <w:p>
      <w:pPr>
        <w:snapToGrid w:val="0"/>
        <w:spacing w:line="440" w:lineRule="exact"/>
        <w:ind w:firstLine="420"/>
        <w:rPr>
          <w:rFonts w:asciiTheme="minorEastAsia" w:hAnsiTheme="minorEastAsia" w:eastAsiaTheme="minorEastAsia"/>
          <w:sz w:val="21"/>
          <w:szCs w:val="21"/>
        </w:rPr>
      </w:pPr>
    </w:p>
    <w:p>
      <w:pPr>
        <w:snapToGrid w:val="0"/>
        <w:spacing w:line="440" w:lineRule="exact"/>
        <w:ind w:firstLine="420"/>
        <w:rPr>
          <w:rFonts w:asciiTheme="minorEastAsia" w:hAnsiTheme="minorEastAsia" w:eastAsiaTheme="minorEastAsia"/>
          <w:sz w:val="21"/>
          <w:szCs w:val="21"/>
        </w:rPr>
      </w:pPr>
      <w:r>
        <w:rPr>
          <w:rFonts w:asciiTheme="minorEastAsia" w:hAnsiTheme="minorEastAsia" w:eastAsiaTheme="minorEastAsia"/>
          <w:sz w:val="21"/>
          <w:szCs w:val="21"/>
        </w:rPr>
        <w:t>日期：</w:t>
      </w:r>
    </w:p>
    <w:p>
      <w:pPr>
        <w:spacing w:line="440" w:lineRule="exact"/>
        <w:ind w:firstLine="480"/>
        <w:rPr>
          <w:rFonts w:ascii="Times New Roman"/>
          <w:szCs w:val="21"/>
        </w:rPr>
      </w:pPr>
    </w:p>
    <w:p>
      <w:pPr>
        <w:snapToGrid w:val="0"/>
        <w:spacing w:line="276" w:lineRule="auto"/>
        <w:ind w:firstLine="0" w:firstLineChars="0"/>
        <w:jc w:val="center"/>
        <w:rPr>
          <w:rFonts w:hAnsi="宋体"/>
          <w:b/>
          <w:sz w:val="30"/>
          <w:szCs w:val="30"/>
        </w:rPr>
      </w:pPr>
      <w:r>
        <w:rPr>
          <w:rFonts w:hint="eastAsia" w:hAnsi="宋体"/>
          <w:b/>
          <w:sz w:val="30"/>
          <w:szCs w:val="30"/>
        </w:rPr>
        <w:t>渝农商理财有限责任公司</w:t>
      </w:r>
    </w:p>
    <w:p>
      <w:pPr>
        <w:snapToGrid w:val="0"/>
        <w:spacing w:line="276" w:lineRule="auto"/>
        <w:ind w:firstLine="0" w:firstLineChars="0"/>
        <w:jc w:val="center"/>
        <w:rPr>
          <w:rFonts w:hAnsi="宋体"/>
          <w:b/>
          <w:sz w:val="30"/>
          <w:szCs w:val="30"/>
        </w:rPr>
      </w:pPr>
      <w:r>
        <w:rPr>
          <w:rFonts w:hint="eastAsia" w:hAnsi="宋体"/>
          <w:b/>
          <w:sz w:val="30"/>
          <w:szCs w:val="30"/>
        </w:rPr>
        <w:t>理财产品投资协议书</w:t>
      </w:r>
    </w:p>
    <w:p>
      <w:pPr>
        <w:snapToGrid w:val="0"/>
        <w:spacing w:line="276" w:lineRule="auto"/>
        <w:ind w:firstLine="480"/>
        <w:jc w:val="center"/>
        <w:rPr>
          <w:rFonts w:ascii="仿宋_GB2312" w:eastAsia="仿宋_GB2312"/>
          <w:szCs w:val="21"/>
        </w:rPr>
      </w:pPr>
    </w:p>
    <w:p>
      <w:pPr>
        <w:snapToGrid w:val="0"/>
        <w:spacing w:line="276" w:lineRule="auto"/>
        <w:ind w:firstLine="396"/>
        <w:rPr>
          <w:rFonts w:asciiTheme="minorEastAsia" w:hAnsiTheme="minorEastAsia" w:eastAsiaTheme="minorEastAsia"/>
          <w:b/>
          <w:bCs/>
          <w:sz w:val="21"/>
          <w:szCs w:val="21"/>
        </w:rPr>
      </w:pPr>
      <w:r>
        <w:rPr>
          <w:rFonts w:hint="eastAsia" w:asciiTheme="minorEastAsia" w:hAnsiTheme="minorEastAsia" w:eastAsiaTheme="minorEastAsia"/>
          <w:spacing w:val="-6"/>
          <w:sz w:val="21"/>
          <w:szCs w:val="21"/>
        </w:rPr>
        <w:t>经甲方（以下简称“投资者”或“甲方”）与乙方（渝农商理财有限责任公司，以下简称“渝农商理财”或“乙方”）友好协商</w:t>
      </w:r>
      <w:r>
        <w:rPr>
          <w:rFonts w:hint="eastAsia" w:asciiTheme="minorEastAsia" w:hAnsiTheme="minorEastAsia" w:eastAsiaTheme="minorEastAsia"/>
          <w:sz w:val="21"/>
          <w:szCs w:val="21"/>
        </w:rPr>
        <w:t>，本着平等自愿、诚实信用的原则，就甲方购买乙方所发行的</w:t>
      </w:r>
      <w:r>
        <w:rPr>
          <w:rFonts w:hint="eastAsia" w:asciiTheme="minorEastAsia" w:hAnsiTheme="minorEastAsia" w:eastAsiaTheme="minorEastAsia"/>
          <w:spacing w:val="-6"/>
          <w:sz w:val="21"/>
          <w:szCs w:val="21"/>
        </w:rPr>
        <w:t>理财产品，达成协议如下：</w:t>
      </w:r>
    </w:p>
    <w:p>
      <w:pPr>
        <w:tabs>
          <w:tab w:val="left" w:pos="360"/>
        </w:tabs>
        <w:snapToGrid w:val="0"/>
        <w:spacing w:line="276" w:lineRule="auto"/>
        <w:ind w:firstLine="420"/>
        <w:rPr>
          <w:rFonts w:hint="eastAsia" w:asciiTheme="minorEastAsia" w:hAnsiTheme="minorEastAsia" w:eastAsiaTheme="minorEastAsia"/>
          <w:sz w:val="21"/>
          <w:szCs w:val="21"/>
        </w:rPr>
      </w:pPr>
      <w:r>
        <w:rPr>
          <w:rFonts w:hint="eastAsia" w:asciiTheme="minorEastAsia" w:hAnsiTheme="minorEastAsia" w:eastAsiaTheme="minorEastAsia"/>
          <w:sz w:val="21"/>
          <w:szCs w:val="21"/>
        </w:rPr>
        <w:t>一、甲方自愿通过乙方直销或乙方指定的代理销售机构（以下简称“销售（代理销售）机构”）购买乙方所发行的理财产品，接受乙方提供的投资理财服务。</w:t>
      </w:r>
    </w:p>
    <w:p>
      <w:pPr>
        <w:tabs>
          <w:tab w:val="left" w:pos="360"/>
        </w:tabs>
        <w:snapToGrid w:val="0"/>
        <w:spacing w:line="276" w:lineRule="auto"/>
        <w:ind w:firstLine="422"/>
        <w:rPr>
          <w:rFonts w:asciiTheme="minorEastAsia" w:hAnsiTheme="minorEastAsia" w:eastAsiaTheme="minorEastAsia"/>
          <w:sz w:val="21"/>
          <w:szCs w:val="21"/>
        </w:rPr>
      </w:pPr>
      <w:r>
        <w:rPr>
          <w:rFonts w:hint="eastAsia" w:asciiTheme="minorEastAsia" w:hAnsiTheme="minorEastAsia" w:eastAsiaTheme="minorEastAsia"/>
          <w:b/>
          <w:bCs/>
          <w:sz w:val="21"/>
          <w:szCs w:val="21"/>
        </w:rPr>
        <w:t>二、风险揭示：理财非存款、产品有风险、投资须谨慎</w:t>
      </w:r>
      <w:r>
        <w:rPr>
          <w:rFonts w:hint="eastAsia" w:asciiTheme="minorEastAsia" w:hAnsiTheme="minorEastAsia" w:eastAsiaTheme="minorEastAsia"/>
          <w:sz w:val="21"/>
          <w:szCs w:val="21"/>
        </w:rPr>
        <w:t>。投资理财产品可能面临信用风险、市场风险、流动性风险等风险因素，具体由乙方在每款理财产品的《理财产品说明书》、《风险揭示书》中揭示。</w:t>
      </w:r>
      <w:r>
        <w:rPr>
          <w:rFonts w:hint="eastAsia" w:asciiTheme="minorEastAsia" w:hAnsiTheme="minorEastAsia" w:eastAsiaTheme="minorEastAsia"/>
          <w:b/>
          <w:bCs/>
          <w:sz w:val="21"/>
          <w:szCs w:val="21"/>
        </w:rPr>
        <w:t>甲方应仔细阅读拟购买理财产品对应的《理财产品说明书》和《风险揭示书》的详细条款并充分理解理财投资可能发生的风险</w:t>
      </w:r>
      <w:r>
        <w:rPr>
          <w:rFonts w:hint="eastAsia" w:asciiTheme="minorEastAsia" w:hAnsiTheme="minorEastAsia" w:eastAsiaTheme="minorEastAsia"/>
          <w:sz w:val="21"/>
          <w:szCs w:val="21"/>
        </w:rPr>
        <w:t>。</w:t>
      </w:r>
    </w:p>
    <w:p>
      <w:pPr>
        <w:snapToGrid w:val="0"/>
        <w:spacing w:line="276" w:lineRule="auto"/>
        <w:ind w:firstLine="422"/>
        <w:rPr>
          <w:rFonts w:asciiTheme="minorEastAsia" w:hAnsiTheme="minorEastAsia" w:eastAsiaTheme="minorEastAsia"/>
          <w:b/>
          <w:bCs/>
          <w:sz w:val="21"/>
          <w:szCs w:val="21"/>
        </w:rPr>
      </w:pPr>
      <w:r>
        <w:rPr>
          <w:rFonts w:hint="eastAsia" w:asciiTheme="minorEastAsia" w:hAnsiTheme="minorEastAsia" w:eastAsiaTheme="minorEastAsia"/>
          <w:b/>
          <w:bCs/>
          <w:sz w:val="21"/>
          <w:szCs w:val="21"/>
        </w:rPr>
        <w:t>三、甲方声明：</w:t>
      </w:r>
    </w:p>
    <w:p>
      <w:pPr>
        <w:snapToGrid w:val="0"/>
        <w:spacing w:line="276" w:lineRule="auto"/>
        <w:ind w:firstLine="411" w:firstLineChars="196"/>
        <w:rPr>
          <w:rFonts w:asciiTheme="minorEastAsia" w:hAnsiTheme="minorEastAsia" w:eastAsiaTheme="minorEastAsia"/>
          <w:sz w:val="21"/>
          <w:szCs w:val="21"/>
        </w:rPr>
      </w:pPr>
      <w:r>
        <w:rPr>
          <w:rFonts w:asciiTheme="minorEastAsia" w:hAnsiTheme="minorEastAsia" w:eastAsiaTheme="minorEastAsia"/>
          <w:sz w:val="21"/>
          <w:szCs w:val="21"/>
        </w:rPr>
        <w:t>1.</w:t>
      </w:r>
      <w:r>
        <w:rPr>
          <w:rFonts w:hint="eastAsia" w:asciiTheme="minorEastAsia" w:hAnsiTheme="minorEastAsia" w:eastAsiaTheme="minorEastAsia"/>
          <w:sz w:val="21"/>
          <w:szCs w:val="21"/>
        </w:rPr>
        <w:t>若甲方为个人投资者的，</w:t>
      </w:r>
      <w:r>
        <w:rPr>
          <w:rFonts w:hint="eastAsia" w:asciiTheme="minorEastAsia" w:hAnsiTheme="minorEastAsia" w:eastAsiaTheme="minorEastAsia"/>
          <w:b/>
          <w:bCs/>
          <w:sz w:val="21"/>
          <w:szCs w:val="21"/>
        </w:rPr>
        <w:t>甲方确认</w:t>
      </w:r>
      <w:r>
        <w:rPr>
          <w:rFonts w:hint="eastAsia" w:asciiTheme="minorEastAsia" w:hAnsiTheme="minorEastAsia" w:eastAsiaTheme="minorEastAsia"/>
          <w:sz w:val="21"/>
          <w:szCs w:val="21"/>
        </w:rPr>
        <w:t>其为具有完全民事行为能力的个人，具备完全适当的资格与能力订立并履行理财产品合同，不存在法律、行政法规有关规定禁止或限制投资理财产品的情形；若甲方为机构投资者的，</w:t>
      </w:r>
      <w:r>
        <w:rPr>
          <w:rFonts w:hint="eastAsia" w:asciiTheme="minorEastAsia" w:hAnsiTheme="minorEastAsia" w:eastAsiaTheme="minorEastAsia"/>
          <w:b/>
          <w:bCs/>
          <w:sz w:val="21"/>
          <w:szCs w:val="21"/>
        </w:rPr>
        <w:t>甲方确认</w:t>
      </w:r>
      <w:r>
        <w:rPr>
          <w:rFonts w:hint="eastAsia" w:asciiTheme="minorEastAsia" w:hAnsiTheme="minorEastAsia" w:eastAsiaTheme="minorEastAsia"/>
          <w:sz w:val="21"/>
          <w:szCs w:val="21"/>
        </w:rPr>
        <w:t>签署和履行理财产品销售文件系其真实意思表示，已经按照其章程或者其它内部管理文件的要求取得合法、有效的授权且不会违反对其有约束力的任何合同和其他法律文件。</w:t>
      </w:r>
    </w:p>
    <w:p>
      <w:pPr>
        <w:snapToGrid w:val="0"/>
        <w:spacing w:line="276" w:lineRule="auto"/>
        <w:ind w:firstLine="422"/>
        <w:rPr>
          <w:rFonts w:asciiTheme="minorEastAsia" w:hAnsiTheme="minorEastAsia" w:eastAsiaTheme="minorEastAsia"/>
          <w:b/>
          <w:bCs/>
          <w:sz w:val="21"/>
          <w:szCs w:val="21"/>
        </w:rPr>
      </w:pPr>
      <w:r>
        <w:rPr>
          <w:rFonts w:asciiTheme="minorEastAsia" w:hAnsiTheme="minorEastAsia" w:eastAsiaTheme="minorEastAsia"/>
          <w:b/>
          <w:bCs/>
          <w:sz w:val="21"/>
          <w:szCs w:val="21"/>
        </w:rPr>
        <w:t>2.</w:t>
      </w:r>
      <w:r>
        <w:rPr>
          <w:rFonts w:hint="eastAsia" w:asciiTheme="minorEastAsia" w:hAnsiTheme="minorEastAsia" w:eastAsiaTheme="minorEastAsia"/>
          <w:b/>
          <w:bCs/>
          <w:sz w:val="21"/>
          <w:szCs w:val="21"/>
        </w:rPr>
        <w:t>甲方已经阅读《投资者权益须知》并清楚知晓其内容，接受并签署本协议书、《销售（代理销售）协议书》、《理财产品说明书》和《风险揭示书》，对有关条款不存在任何疑问或异议；甲方以其合法持有的资金购买乙方发行与管理的理财产品，并能充分理解所购买产品的内容，完全知晓产品可能存在的各种风险，愿意并能够承担风险。乙方向甲方提供的市场分析和预测仅供参考，甲方据此做出的任何决策均出于甲方自身的判断，乙方不承担任何责任。</w:t>
      </w:r>
    </w:p>
    <w:p>
      <w:pPr>
        <w:snapToGrid w:val="0"/>
        <w:spacing w:line="276" w:lineRule="auto"/>
        <w:ind w:firstLine="420"/>
        <w:rPr>
          <w:rFonts w:hint="eastAsia" w:asciiTheme="minorEastAsia" w:hAnsiTheme="minorEastAsia" w:eastAsiaTheme="minorEastAsia"/>
          <w:bCs/>
          <w:sz w:val="21"/>
          <w:szCs w:val="21"/>
        </w:rPr>
      </w:pPr>
      <w:r>
        <w:rPr>
          <w:rFonts w:hint="eastAsia" w:asciiTheme="minorEastAsia" w:hAnsiTheme="minorEastAsia" w:eastAsiaTheme="minorEastAsia"/>
          <w:bCs/>
          <w:sz w:val="21"/>
          <w:szCs w:val="21"/>
        </w:rPr>
        <w:t>3</w:t>
      </w:r>
      <w:r>
        <w:rPr>
          <w:rFonts w:asciiTheme="minorEastAsia" w:hAnsiTheme="minorEastAsia" w:eastAsiaTheme="minorEastAsia"/>
          <w:bCs/>
          <w:sz w:val="21"/>
          <w:szCs w:val="21"/>
        </w:rPr>
        <w:t>.</w:t>
      </w:r>
      <w:r>
        <w:rPr>
          <w:rFonts w:hint="eastAsia" w:asciiTheme="minorEastAsia" w:hAnsiTheme="minorEastAsia" w:eastAsiaTheme="minorEastAsia"/>
          <w:bCs/>
          <w:sz w:val="21"/>
          <w:szCs w:val="21"/>
        </w:rPr>
        <w:t>甲方同意，未经乙方同意，甲方不得将本协议或本协议的各组成文件（包括单独和整体）及本协议或本协议的各组成文件项下的任何权利、利益、权益（包括单独和整体）转让、赠与或以其他方式转让给任何第三人。</w:t>
      </w:r>
    </w:p>
    <w:p>
      <w:pPr>
        <w:snapToGrid w:val="0"/>
        <w:spacing w:line="276" w:lineRule="auto"/>
        <w:ind w:firstLine="422"/>
        <w:rPr>
          <w:rFonts w:asciiTheme="minorEastAsia" w:hAnsiTheme="minorEastAsia" w:eastAsiaTheme="minorEastAsia"/>
          <w:bCs/>
          <w:sz w:val="21"/>
          <w:szCs w:val="21"/>
        </w:rPr>
      </w:pPr>
      <w:r>
        <w:rPr>
          <w:rFonts w:hint="eastAsia" w:asciiTheme="minorEastAsia" w:hAnsiTheme="minorEastAsia" w:eastAsiaTheme="minorEastAsia"/>
          <w:b/>
          <w:sz w:val="21"/>
          <w:szCs w:val="21"/>
        </w:rPr>
        <w:t>4</w:t>
      </w:r>
      <w:r>
        <w:rPr>
          <w:rFonts w:asciiTheme="minorEastAsia" w:hAnsiTheme="minorEastAsia" w:eastAsiaTheme="minorEastAsia"/>
          <w:b/>
          <w:sz w:val="21"/>
          <w:szCs w:val="21"/>
        </w:rPr>
        <w:t>.</w:t>
      </w:r>
      <w:r>
        <w:rPr>
          <w:rFonts w:hint="eastAsia" w:asciiTheme="minorEastAsia" w:hAnsiTheme="minorEastAsia" w:eastAsiaTheme="minorEastAsia"/>
          <w:b/>
          <w:sz w:val="21"/>
          <w:szCs w:val="21"/>
        </w:rPr>
        <w:t>甲方同意，未经乙方同意，乙方不承担对第三人支付本金和收益以及相关权益的义务和责任，法律另有规定或双方另有约定除外。</w:t>
      </w:r>
    </w:p>
    <w:p>
      <w:pPr>
        <w:snapToGrid w:val="0"/>
        <w:spacing w:line="276" w:lineRule="auto"/>
        <w:ind w:firstLine="422"/>
        <w:rPr>
          <w:rFonts w:hint="eastAsia" w:asciiTheme="minorEastAsia" w:hAnsiTheme="minorEastAsia" w:eastAsiaTheme="minorEastAsia"/>
          <w:b/>
          <w:sz w:val="21"/>
          <w:szCs w:val="21"/>
        </w:rPr>
      </w:pPr>
      <w:r>
        <w:rPr>
          <w:rFonts w:hint="eastAsia" w:asciiTheme="minorEastAsia" w:hAnsiTheme="minorEastAsia" w:eastAsiaTheme="minorEastAsia"/>
          <w:b/>
          <w:sz w:val="21"/>
          <w:szCs w:val="21"/>
        </w:rPr>
        <w:t>5</w:t>
      </w:r>
      <w:r>
        <w:rPr>
          <w:rFonts w:asciiTheme="minorEastAsia" w:hAnsiTheme="minorEastAsia" w:eastAsiaTheme="minorEastAsia"/>
          <w:b/>
          <w:sz w:val="21"/>
          <w:szCs w:val="21"/>
        </w:rPr>
        <w:t>.甲方同意</w:t>
      </w:r>
      <w:r>
        <w:rPr>
          <w:rFonts w:hint="eastAsia" w:asciiTheme="minorEastAsia" w:hAnsiTheme="minorEastAsia" w:eastAsiaTheme="minorEastAsia"/>
          <w:b/>
          <w:sz w:val="21"/>
          <w:szCs w:val="21"/>
        </w:rPr>
        <w:t>，</w:t>
      </w:r>
      <w:r>
        <w:rPr>
          <w:rFonts w:asciiTheme="minorEastAsia" w:hAnsiTheme="minorEastAsia" w:eastAsiaTheme="minorEastAsia"/>
          <w:b/>
          <w:sz w:val="21"/>
          <w:szCs w:val="21"/>
        </w:rPr>
        <w:t>乙方</w:t>
      </w:r>
      <w:r>
        <w:rPr>
          <w:rFonts w:hint="eastAsia" w:asciiTheme="minorEastAsia" w:hAnsiTheme="minorEastAsia" w:eastAsiaTheme="minorEastAsia"/>
          <w:b/>
          <w:sz w:val="21"/>
          <w:szCs w:val="21"/>
        </w:rPr>
        <w:t>按《销售（代理销售）协议书》、</w:t>
      </w:r>
      <w:r>
        <w:rPr>
          <w:rFonts w:asciiTheme="minorEastAsia" w:hAnsiTheme="minorEastAsia" w:eastAsiaTheme="minorEastAsia"/>
          <w:b/>
          <w:sz w:val="21"/>
          <w:szCs w:val="21"/>
        </w:rPr>
        <w:t>《理财产品说明书》、《风险揭示书》、《</w:t>
      </w:r>
      <w:r>
        <w:rPr>
          <w:rFonts w:hint="eastAsia" w:asciiTheme="minorEastAsia" w:hAnsiTheme="minorEastAsia" w:eastAsiaTheme="minorEastAsia"/>
          <w:b/>
          <w:sz w:val="21"/>
          <w:szCs w:val="21"/>
        </w:rPr>
        <w:t>投资者</w:t>
      </w:r>
      <w:r>
        <w:rPr>
          <w:rFonts w:asciiTheme="minorEastAsia" w:hAnsiTheme="minorEastAsia" w:eastAsiaTheme="minorEastAsia"/>
          <w:b/>
          <w:sz w:val="21"/>
          <w:szCs w:val="21"/>
        </w:rPr>
        <w:t>权益须知》</w:t>
      </w:r>
      <w:r>
        <w:rPr>
          <w:rFonts w:hint="eastAsia" w:asciiTheme="minorEastAsia" w:hAnsiTheme="minorEastAsia" w:eastAsiaTheme="minorEastAsia"/>
          <w:b/>
          <w:sz w:val="21"/>
          <w:szCs w:val="21"/>
        </w:rPr>
        <w:t>等</w:t>
      </w:r>
      <w:r>
        <w:rPr>
          <w:rFonts w:asciiTheme="minorEastAsia" w:hAnsiTheme="minorEastAsia" w:eastAsiaTheme="minorEastAsia"/>
          <w:b/>
          <w:sz w:val="21"/>
          <w:szCs w:val="21"/>
        </w:rPr>
        <w:t>销售文件的约定</w:t>
      </w:r>
      <w:r>
        <w:rPr>
          <w:rFonts w:hint="eastAsia" w:asciiTheme="minorEastAsia" w:hAnsiTheme="minorEastAsia" w:eastAsiaTheme="minorEastAsia"/>
          <w:b/>
          <w:sz w:val="21"/>
          <w:szCs w:val="21"/>
        </w:rPr>
        <w:t>进行投资管理时，可以用自身</w:t>
      </w:r>
      <w:r>
        <w:rPr>
          <w:rFonts w:asciiTheme="minorEastAsia" w:hAnsiTheme="minorEastAsia" w:eastAsiaTheme="minorEastAsia"/>
          <w:b/>
          <w:sz w:val="21"/>
          <w:szCs w:val="21"/>
        </w:rPr>
        <w:t>名义或理财产品名义签署协议等相关法律文件</w:t>
      </w:r>
      <w:r>
        <w:rPr>
          <w:rFonts w:hint="eastAsia" w:asciiTheme="minorEastAsia" w:hAnsiTheme="minorEastAsia" w:eastAsiaTheme="minorEastAsia"/>
          <w:b/>
          <w:sz w:val="21"/>
          <w:szCs w:val="21"/>
        </w:rPr>
        <w:t>，甲方</w:t>
      </w:r>
      <w:r>
        <w:rPr>
          <w:rFonts w:asciiTheme="minorEastAsia" w:hAnsiTheme="minorEastAsia" w:eastAsiaTheme="minorEastAsia"/>
          <w:b/>
          <w:sz w:val="21"/>
          <w:szCs w:val="21"/>
        </w:rPr>
        <w:t>承诺承担</w:t>
      </w:r>
      <w:r>
        <w:rPr>
          <w:rFonts w:hint="eastAsia" w:asciiTheme="minorEastAsia" w:hAnsiTheme="minorEastAsia" w:eastAsiaTheme="minorEastAsia"/>
          <w:b/>
          <w:sz w:val="21"/>
          <w:szCs w:val="21"/>
        </w:rPr>
        <w:t>由此</w:t>
      </w:r>
      <w:r>
        <w:rPr>
          <w:rFonts w:asciiTheme="minorEastAsia" w:hAnsiTheme="minorEastAsia" w:eastAsiaTheme="minorEastAsia"/>
          <w:b/>
          <w:sz w:val="21"/>
          <w:szCs w:val="21"/>
        </w:rPr>
        <w:t>产生的法律后果。</w:t>
      </w:r>
    </w:p>
    <w:p>
      <w:pPr>
        <w:snapToGrid w:val="0"/>
        <w:spacing w:line="276" w:lineRule="auto"/>
        <w:ind w:firstLine="422"/>
        <w:rPr>
          <w:rFonts w:asciiTheme="minorEastAsia" w:hAnsiTheme="minorEastAsia" w:eastAsiaTheme="minorEastAsia"/>
          <w:bCs/>
          <w:sz w:val="21"/>
          <w:szCs w:val="21"/>
        </w:rPr>
      </w:pPr>
      <w:r>
        <w:rPr>
          <w:rFonts w:hint="eastAsia" w:asciiTheme="minorEastAsia" w:hAnsiTheme="minorEastAsia" w:eastAsiaTheme="minorEastAsia"/>
          <w:b/>
          <w:sz w:val="21"/>
          <w:szCs w:val="21"/>
        </w:rPr>
        <w:t>6</w:t>
      </w:r>
      <w:r>
        <w:rPr>
          <w:rFonts w:asciiTheme="minorEastAsia" w:hAnsiTheme="minorEastAsia" w:eastAsiaTheme="minorEastAsia"/>
          <w:b/>
          <w:sz w:val="21"/>
          <w:szCs w:val="21"/>
        </w:rPr>
        <w:t>.</w:t>
      </w:r>
      <w:r>
        <w:rPr>
          <w:rFonts w:hint="eastAsia" w:asciiTheme="minorEastAsia" w:hAnsiTheme="minorEastAsia" w:eastAsiaTheme="minorEastAsia"/>
          <w:b/>
          <w:sz w:val="21"/>
          <w:szCs w:val="21"/>
        </w:rPr>
        <w:t>甲方充分知悉并认可，乙方有可能在满足理财产品投资目标、投资策略和投资者利益优先原则的前提下，按照商业原则，以不优于对非关联方同类交易条件从事以下关联交易</w:t>
      </w:r>
      <w:r>
        <w:rPr>
          <w:rFonts w:hint="eastAsia" w:asciiTheme="minorEastAsia" w:hAnsiTheme="minorEastAsia" w:eastAsiaTheme="minorEastAsia"/>
          <w:bCs/>
          <w:sz w:val="21"/>
          <w:szCs w:val="21"/>
        </w:rPr>
        <w:t>，包括且不限于：投资于乙方或托管机构的主要股东、实际控制人、一致行动人、最终受益人，托管机构，乙方同一股东或托管机构控股的机构，或者与乙方或托管机构有重大利害关系的机构发行或承销的证券；同与乙方存在关联关系的金融机构在金融市场上进行对手方交易；乙方理财产品的代理销售机构与乙方存在关联关系；或者从事其他关联交易。</w:t>
      </w:r>
    </w:p>
    <w:p>
      <w:pPr>
        <w:snapToGrid w:val="0"/>
        <w:spacing w:line="276" w:lineRule="auto"/>
        <w:ind w:firstLine="422"/>
        <w:rPr>
          <w:rFonts w:hint="eastAsia" w:asciiTheme="minorEastAsia" w:hAnsiTheme="minorEastAsia" w:eastAsiaTheme="minorEastAsia"/>
          <w:b/>
          <w:sz w:val="21"/>
          <w:szCs w:val="21"/>
        </w:rPr>
      </w:pPr>
      <w:r>
        <w:rPr>
          <w:rFonts w:hint="eastAsia" w:asciiTheme="minorEastAsia" w:hAnsiTheme="minorEastAsia" w:eastAsiaTheme="minorEastAsia"/>
          <w:b/>
          <w:sz w:val="21"/>
          <w:szCs w:val="21"/>
        </w:rPr>
        <w:t>甲方同意并授权乙方在管理本理财产品时可从事上述关联交易，乙方根据上述授权进行关联交易时，无需事先取得甲方同意。</w:t>
      </w:r>
    </w:p>
    <w:p>
      <w:pPr>
        <w:snapToGrid w:val="0"/>
        <w:spacing w:line="276" w:lineRule="auto"/>
        <w:ind w:firstLine="420"/>
        <w:rPr>
          <w:rFonts w:asciiTheme="minorEastAsia" w:hAnsiTheme="minorEastAsia" w:eastAsiaTheme="minorEastAsia"/>
          <w:bCs/>
          <w:sz w:val="21"/>
          <w:szCs w:val="21"/>
        </w:rPr>
      </w:pPr>
      <w:r>
        <w:rPr>
          <w:rFonts w:hint="eastAsia" w:asciiTheme="minorEastAsia" w:hAnsiTheme="minorEastAsia" w:eastAsiaTheme="minorEastAsia"/>
          <w:bCs/>
          <w:sz w:val="21"/>
          <w:szCs w:val="21"/>
        </w:rPr>
        <w:t>四、本协议适用于销售（代理销售）机构销售渝农商理财发行的理财产品。与理财产品对应的《销售（代理销售）协议书》、《理财产品说明书》、《风险揭示书》和《投资者权益须知》等相关销售文件构成完整的不可分割的理财产品销售文件，与本协议具有同等法律效力。</w:t>
      </w:r>
    </w:p>
    <w:p>
      <w:pPr>
        <w:snapToGrid w:val="0"/>
        <w:spacing w:line="276" w:lineRule="auto"/>
        <w:ind w:firstLine="422"/>
        <w:rPr>
          <w:rFonts w:asciiTheme="minorEastAsia" w:hAnsiTheme="minorEastAsia" w:eastAsiaTheme="minorEastAsia"/>
          <w:b/>
          <w:bCs/>
          <w:sz w:val="21"/>
          <w:szCs w:val="21"/>
        </w:rPr>
      </w:pPr>
      <w:r>
        <w:rPr>
          <w:rFonts w:hint="eastAsia" w:asciiTheme="minorEastAsia" w:hAnsiTheme="minorEastAsia" w:eastAsiaTheme="minorEastAsia"/>
          <w:b/>
          <w:bCs/>
          <w:sz w:val="21"/>
          <w:szCs w:val="21"/>
        </w:rPr>
        <w:t>五、双方的权利和义务</w:t>
      </w:r>
    </w:p>
    <w:p>
      <w:pPr>
        <w:snapToGrid w:val="0"/>
        <w:spacing w:line="276" w:lineRule="auto"/>
        <w:ind w:firstLine="411" w:firstLineChars="196"/>
        <w:rPr>
          <w:rFonts w:asciiTheme="minorEastAsia" w:hAnsiTheme="minorEastAsia" w:eastAsiaTheme="minorEastAsia"/>
          <w:sz w:val="21"/>
          <w:szCs w:val="21"/>
        </w:rPr>
      </w:pPr>
      <w:r>
        <w:rPr>
          <w:rFonts w:hint="eastAsia" w:asciiTheme="minorEastAsia" w:hAnsiTheme="minorEastAsia" w:eastAsiaTheme="minorEastAsia"/>
          <w:sz w:val="21"/>
          <w:szCs w:val="21"/>
        </w:rPr>
        <w:t>（一）甲方的权利和义务</w:t>
      </w:r>
    </w:p>
    <w:p>
      <w:pPr>
        <w:snapToGrid w:val="0"/>
        <w:spacing w:line="276" w:lineRule="auto"/>
        <w:ind w:firstLine="411" w:firstLineChars="196"/>
        <w:rPr>
          <w:rFonts w:asciiTheme="minorEastAsia" w:hAnsiTheme="minorEastAsia" w:eastAsiaTheme="minorEastAsia"/>
          <w:sz w:val="21"/>
          <w:szCs w:val="21"/>
        </w:rPr>
      </w:pPr>
      <w:r>
        <w:rPr>
          <w:rFonts w:hint="eastAsia" w:asciiTheme="minorEastAsia" w:hAnsiTheme="minorEastAsia" w:eastAsiaTheme="minorEastAsia"/>
          <w:sz w:val="21"/>
          <w:szCs w:val="21"/>
        </w:rPr>
        <w:t>1.甲方拥有按照理财销售文件的约定取得理财收益的权利，按照理财销售文件的约定查询获得公开披露的理财产品信息资料的权利，法律法规、理财产品销售文件规定的其他权利。</w:t>
      </w:r>
    </w:p>
    <w:p>
      <w:pPr>
        <w:snapToGrid w:val="0"/>
        <w:spacing w:line="276" w:lineRule="auto"/>
        <w:ind w:firstLine="413" w:firstLineChars="196"/>
        <w:rPr>
          <w:rFonts w:asciiTheme="minorEastAsia" w:hAnsiTheme="minorEastAsia" w:eastAsiaTheme="minorEastAsia"/>
          <w:sz w:val="21"/>
          <w:szCs w:val="21"/>
        </w:rPr>
      </w:pPr>
      <w:r>
        <w:rPr>
          <w:rFonts w:hint="eastAsia" w:asciiTheme="minorEastAsia" w:hAnsiTheme="minorEastAsia" w:eastAsiaTheme="minorEastAsia"/>
          <w:b/>
          <w:bCs/>
          <w:sz w:val="21"/>
          <w:szCs w:val="21"/>
        </w:rPr>
        <w:t>2</w:t>
      </w:r>
      <w:r>
        <w:rPr>
          <w:rFonts w:asciiTheme="minorEastAsia" w:hAnsiTheme="minorEastAsia" w:eastAsiaTheme="minorEastAsia"/>
          <w:b/>
          <w:bCs/>
          <w:sz w:val="21"/>
          <w:szCs w:val="21"/>
        </w:rPr>
        <w:t>.</w:t>
      </w:r>
      <w:r>
        <w:rPr>
          <w:rFonts w:hint="eastAsia" w:asciiTheme="minorEastAsia" w:hAnsiTheme="minorEastAsia" w:eastAsiaTheme="minorEastAsia"/>
          <w:b/>
          <w:bCs/>
          <w:sz w:val="21"/>
          <w:szCs w:val="21"/>
        </w:rPr>
        <w:t>甲方承诺其购买理财产品的资金为合法自有资金，不存在使用贷款、发行债券等筹集的非自有资金投资理财产品的情形，甲方承诺投资理财产品使用的资金来源合法合规，并且系为合法之目的投资本理财产品，而非为洗钱等违法犯罪之目的</w:t>
      </w:r>
      <w:r>
        <w:rPr>
          <w:rFonts w:hint="eastAsia" w:asciiTheme="minorEastAsia" w:hAnsiTheme="minorEastAsia" w:eastAsiaTheme="minorEastAsia"/>
          <w:sz w:val="21"/>
          <w:szCs w:val="21"/>
        </w:rPr>
        <w:t>，甲方将配合产品管理人渝农商理财及销售（代理销售）机构开展投资者身份识别及尽职调查等反洗钱</w:t>
      </w:r>
      <w:bookmarkStart w:id="57" w:name="_Hlk76411382"/>
      <w:r>
        <w:rPr>
          <w:rFonts w:hint="eastAsia" w:asciiTheme="minorEastAsia" w:hAnsiTheme="minorEastAsia" w:eastAsiaTheme="minorEastAsia"/>
          <w:sz w:val="21"/>
          <w:szCs w:val="21"/>
        </w:rPr>
        <w:t>、反恐怖融资活动及非居民金融账户涉税信息尽职调查</w:t>
      </w:r>
      <w:bookmarkEnd w:id="57"/>
      <w:r>
        <w:rPr>
          <w:rFonts w:hint="eastAsia" w:asciiTheme="minorEastAsia" w:hAnsiTheme="minorEastAsia" w:eastAsiaTheme="minorEastAsia"/>
          <w:sz w:val="21"/>
          <w:szCs w:val="21"/>
        </w:rPr>
        <w:t>，及时、真实、准确、完整提供身份信息及资金来源等信息。</w:t>
      </w:r>
    </w:p>
    <w:p>
      <w:pPr>
        <w:snapToGrid w:val="0"/>
        <w:spacing w:line="276" w:lineRule="auto"/>
        <w:ind w:firstLine="413" w:firstLineChars="196"/>
        <w:rPr>
          <w:rFonts w:hint="eastAsia" w:asciiTheme="minorEastAsia" w:hAnsiTheme="minorEastAsia" w:eastAsiaTheme="minorEastAsia"/>
          <w:sz w:val="21"/>
          <w:szCs w:val="21"/>
        </w:rPr>
      </w:pPr>
      <w:r>
        <w:rPr>
          <w:rFonts w:hint="eastAsia" w:asciiTheme="minorEastAsia" w:hAnsiTheme="minorEastAsia" w:eastAsiaTheme="minorEastAsia"/>
          <w:b/>
          <w:bCs/>
          <w:sz w:val="21"/>
          <w:szCs w:val="21"/>
        </w:rPr>
        <w:t>3.甲方保证以真实身份投资本理财产品，甲方承诺所提供的所有资料真实、完整、合法、有效，如有变更，甲方应及时到销售（代理销售）机构办理变更手续。</w:t>
      </w:r>
      <w:r>
        <w:rPr>
          <w:rFonts w:hint="eastAsia" w:asciiTheme="minorEastAsia" w:hAnsiTheme="minorEastAsia" w:eastAsiaTheme="minorEastAsia"/>
          <w:sz w:val="21"/>
          <w:szCs w:val="21"/>
        </w:rPr>
        <w:t>若甲方未及时办理相关变更手续，由此导致的一切后果由甲方自行承担，</w:t>
      </w:r>
      <w:r>
        <w:rPr>
          <w:rFonts w:hint="eastAsia" w:asciiTheme="minorEastAsia" w:hAnsiTheme="minorEastAsia" w:eastAsiaTheme="minorEastAsia"/>
          <w:b/>
          <w:bCs/>
          <w:sz w:val="21"/>
          <w:szCs w:val="21"/>
        </w:rPr>
        <w:t>乙方对此不承担任何责任。</w:t>
      </w:r>
    </w:p>
    <w:p>
      <w:pPr>
        <w:tabs>
          <w:tab w:val="left" w:pos="360"/>
        </w:tabs>
        <w:snapToGrid w:val="0"/>
        <w:spacing w:line="276" w:lineRule="auto"/>
        <w:ind w:firstLine="420"/>
        <w:rPr>
          <w:rFonts w:hint="eastAsia" w:asciiTheme="minorEastAsia" w:hAnsiTheme="minorEastAsia" w:eastAsiaTheme="minorEastAsia"/>
          <w:sz w:val="21"/>
          <w:szCs w:val="21"/>
        </w:rPr>
      </w:pPr>
      <w:r>
        <w:rPr>
          <w:rFonts w:hint="eastAsia" w:asciiTheme="minorEastAsia" w:hAnsiTheme="minorEastAsia" w:eastAsiaTheme="minorEastAsia"/>
          <w:sz w:val="21"/>
          <w:szCs w:val="21"/>
        </w:rPr>
        <w:t>4</w:t>
      </w:r>
      <w:r>
        <w:rPr>
          <w:rFonts w:asciiTheme="minorEastAsia" w:hAnsiTheme="minorEastAsia" w:eastAsiaTheme="minorEastAsia"/>
          <w:sz w:val="21"/>
          <w:szCs w:val="21"/>
        </w:rPr>
        <w:t>.</w:t>
      </w:r>
      <w:r>
        <w:rPr>
          <w:rFonts w:hint="eastAsia" w:asciiTheme="minorEastAsia" w:hAnsiTheme="minorEastAsia" w:eastAsiaTheme="minorEastAsia"/>
          <w:sz w:val="21"/>
          <w:szCs w:val="21"/>
        </w:rPr>
        <w:t>在产品募集期或开放期内，如因甲方原因导致投资本金不能从其理财指定账户足额划转的，甲方对相关理财产品的购买不成功，该理财产品相关法律协议不生效，</w:t>
      </w:r>
      <w:r>
        <w:rPr>
          <w:rFonts w:hint="eastAsia" w:asciiTheme="minorEastAsia" w:hAnsiTheme="minorEastAsia" w:eastAsiaTheme="minorEastAsia"/>
          <w:b/>
          <w:bCs/>
          <w:sz w:val="21"/>
          <w:szCs w:val="21"/>
        </w:rPr>
        <w:t>乙方不承担责任。</w:t>
      </w:r>
    </w:p>
    <w:p>
      <w:pPr>
        <w:tabs>
          <w:tab w:val="left" w:pos="360"/>
        </w:tabs>
        <w:snapToGrid w:val="0"/>
        <w:spacing w:line="276" w:lineRule="auto"/>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5.甲方对本协议及其条款负有保密义务，未经乙方书面许可，甲方不得向任何组织、个人提供或泄露与乙方有关的业务资料及信息，法律法规另有规定的除外。</w:t>
      </w:r>
    </w:p>
    <w:p>
      <w:pPr>
        <w:tabs>
          <w:tab w:val="left" w:pos="360"/>
        </w:tabs>
        <w:snapToGrid w:val="0"/>
        <w:spacing w:line="276" w:lineRule="auto"/>
        <w:ind w:firstLine="420"/>
        <w:rPr>
          <w:rFonts w:asciiTheme="minorEastAsia" w:hAnsiTheme="minorEastAsia" w:eastAsiaTheme="minorEastAsia"/>
          <w:sz w:val="21"/>
          <w:szCs w:val="21"/>
        </w:rPr>
      </w:pPr>
      <w:r>
        <w:rPr>
          <w:rFonts w:asciiTheme="minorEastAsia" w:hAnsiTheme="minorEastAsia" w:eastAsiaTheme="minorEastAsia"/>
          <w:sz w:val="21"/>
          <w:szCs w:val="21"/>
        </w:rPr>
        <w:t>6</w:t>
      </w:r>
      <w:r>
        <w:rPr>
          <w:rFonts w:hint="eastAsia" w:asciiTheme="minorEastAsia" w:hAnsiTheme="minorEastAsia" w:eastAsiaTheme="minorEastAsia"/>
          <w:sz w:val="21"/>
          <w:szCs w:val="21"/>
        </w:rPr>
        <w:t>.如因甲方的原因，导致乙方对其他第三方承担赔偿责任，甲方承诺对乙方承担相应的赔偿责任。</w:t>
      </w:r>
    </w:p>
    <w:p>
      <w:pPr>
        <w:tabs>
          <w:tab w:val="left" w:pos="360"/>
        </w:tabs>
        <w:snapToGrid w:val="0"/>
        <w:spacing w:line="276" w:lineRule="auto"/>
        <w:ind w:firstLine="420"/>
        <w:rPr>
          <w:rFonts w:hint="eastAsia" w:asciiTheme="minorEastAsia" w:hAnsiTheme="minorEastAsia" w:eastAsiaTheme="minorEastAsia"/>
          <w:sz w:val="21"/>
          <w:szCs w:val="21"/>
        </w:rPr>
      </w:pPr>
      <w:r>
        <w:rPr>
          <w:rFonts w:asciiTheme="minorEastAsia" w:hAnsiTheme="minorEastAsia" w:eastAsiaTheme="minorEastAsia"/>
          <w:sz w:val="21"/>
          <w:szCs w:val="21"/>
        </w:rPr>
        <w:t>7.</w:t>
      </w:r>
      <w:r>
        <w:rPr>
          <w:rFonts w:hint="eastAsia" w:asciiTheme="minorEastAsia" w:hAnsiTheme="minorEastAsia" w:eastAsiaTheme="minorEastAsia"/>
          <w:sz w:val="21"/>
          <w:szCs w:val="21"/>
        </w:rPr>
        <w:t>法律法规、监管文件规定或销售文件约定的其他甲方所享有的权利和应履行的义务。</w:t>
      </w:r>
    </w:p>
    <w:p>
      <w:pPr>
        <w:tabs>
          <w:tab w:val="left" w:pos="360"/>
        </w:tabs>
        <w:snapToGrid w:val="0"/>
        <w:spacing w:line="276" w:lineRule="auto"/>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（二）乙方的权利和义务</w:t>
      </w:r>
    </w:p>
    <w:p>
      <w:pPr>
        <w:tabs>
          <w:tab w:val="left" w:pos="360"/>
        </w:tabs>
        <w:snapToGrid w:val="0"/>
        <w:spacing w:line="276" w:lineRule="auto"/>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1</w:t>
      </w:r>
      <w:r>
        <w:rPr>
          <w:rFonts w:asciiTheme="minorEastAsia" w:hAnsiTheme="minorEastAsia" w:eastAsiaTheme="minorEastAsia"/>
          <w:sz w:val="21"/>
          <w:szCs w:val="21"/>
        </w:rPr>
        <w:t>.</w:t>
      </w:r>
      <w:r>
        <w:rPr>
          <w:rFonts w:hint="eastAsia" w:asciiTheme="minorEastAsia" w:hAnsiTheme="minorEastAsia" w:eastAsiaTheme="minorEastAsia"/>
          <w:sz w:val="21"/>
          <w:szCs w:val="21"/>
        </w:rPr>
        <w:t>乙方应按照法律法规规定，并依据本协议及《销售（代理销售）协议书》、《理财产品说明书》、《风险揭示书》、《</w:t>
      </w:r>
      <w:r>
        <w:rPr>
          <w:rFonts w:hint="eastAsia" w:asciiTheme="minorEastAsia" w:hAnsiTheme="minorEastAsia" w:eastAsiaTheme="minorEastAsia"/>
          <w:bCs/>
          <w:sz w:val="21"/>
          <w:szCs w:val="21"/>
        </w:rPr>
        <w:t>投资者</w:t>
      </w:r>
      <w:r>
        <w:rPr>
          <w:rFonts w:hint="eastAsia" w:asciiTheme="minorEastAsia" w:hAnsiTheme="minorEastAsia" w:eastAsiaTheme="minorEastAsia"/>
          <w:sz w:val="21"/>
          <w:szCs w:val="21"/>
        </w:rPr>
        <w:t>权益须知》等销售文件约定，按照投资者利益优先为原则，诚实守信、勤勉尽职地履行受人之托、代人理财职责，但</w:t>
      </w:r>
      <w:r>
        <w:rPr>
          <w:rFonts w:hint="eastAsia" w:asciiTheme="minorEastAsia" w:hAnsiTheme="minorEastAsia" w:eastAsiaTheme="minorEastAsia"/>
          <w:b/>
          <w:bCs/>
          <w:sz w:val="21"/>
          <w:szCs w:val="21"/>
        </w:rPr>
        <w:t>乙方不对任何理财产品的收益情况做出承诺或保证，亦不会承诺或保证最低收益或本金安全，甲方自行承担投资风险并获得收益。</w:t>
      </w:r>
    </w:p>
    <w:p>
      <w:pPr>
        <w:tabs>
          <w:tab w:val="left" w:pos="360"/>
        </w:tabs>
        <w:snapToGrid w:val="0"/>
        <w:spacing w:line="276" w:lineRule="auto"/>
        <w:ind w:firstLine="420"/>
        <w:rPr>
          <w:rFonts w:asciiTheme="minorEastAsia" w:hAnsiTheme="minorEastAsia" w:eastAsiaTheme="minorEastAsia"/>
          <w:sz w:val="21"/>
          <w:szCs w:val="21"/>
        </w:rPr>
      </w:pPr>
      <w:r>
        <w:rPr>
          <w:rFonts w:asciiTheme="minorEastAsia" w:hAnsiTheme="minorEastAsia" w:eastAsiaTheme="minorEastAsia"/>
          <w:sz w:val="21"/>
          <w:szCs w:val="21"/>
        </w:rPr>
        <w:t>2</w:t>
      </w:r>
      <w:r>
        <w:rPr>
          <w:rFonts w:hint="eastAsia" w:asciiTheme="minorEastAsia" w:hAnsiTheme="minorEastAsia" w:eastAsiaTheme="minorEastAsia"/>
          <w:sz w:val="21"/>
          <w:szCs w:val="21"/>
        </w:rPr>
        <w:t>.</w:t>
      </w:r>
      <w:r>
        <w:rPr>
          <w:rFonts w:hint="eastAsia" w:asciiTheme="minorEastAsia" w:hAnsiTheme="minorEastAsia" w:eastAsiaTheme="minorEastAsia"/>
          <w:b/>
          <w:bCs/>
          <w:sz w:val="21"/>
          <w:szCs w:val="21"/>
        </w:rPr>
        <w:t>乙方有权向甲方收取理财产品的相关费用，具体收费项目、条件、标准和方式，在《理财产品说明书》中载明</w:t>
      </w:r>
      <w:r>
        <w:rPr>
          <w:rFonts w:hint="eastAsia" w:asciiTheme="minorEastAsia" w:hAnsiTheme="minorEastAsia" w:eastAsiaTheme="minorEastAsia"/>
          <w:sz w:val="21"/>
          <w:szCs w:val="21"/>
        </w:rPr>
        <w:t>。乙方亦有权根据服务项目或服务内容，对服务价格、优惠措施及其生效和终止日期、与价格相关的例外条款和限制性条款、咨询（投诉）的联系方式等信息</w:t>
      </w:r>
      <w:r>
        <w:rPr>
          <w:rFonts w:hint="eastAsia" w:asciiTheme="minorEastAsia" w:hAnsiTheme="minorEastAsia" w:eastAsiaTheme="minorEastAsia"/>
          <w:b/>
          <w:bCs/>
          <w:sz w:val="21"/>
          <w:szCs w:val="21"/>
        </w:rPr>
        <w:t>通过销售（代理销售）机构手机A</w:t>
      </w:r>
      <w:r>
        <w:rPr>
          <w:rFonts w:asciiTheme="minorEastAsia" w:hAnsiTheme="minorEastAsia" w:eastAsiaTheme="minorEastAsia"/>
          <w:b/>
          <w:bCs/>
          <w:sz w:val="21"/>
          <w:szCs w:val="21"/>
        </w:rPr>
        <w:t>PP</w:t>
      </w:r>
      <w:r>
        <w:rPr>
          <w:rFonts w:hint="eastAsia" w:asciiTheme="minorEastAsia" w:hAnsiTheme="minorEastAsia" w:eastAsiaTheme="minorEastAsia"/>
          <w:b/>
          <w:bCs/>
          <w:sz w:val="21"/>
          <w:szCs w:val="21"/>
        </w:rPr>
        <w:t>、官方网站等渠道或乙方在《理财产品说明书》指定的信息披露渠道向甲方进行信息披露</w:t>
      </w:r>
      <w:r>
        <w:rPr>
          <w:rFonts w:hint="eastAsia" w:asciiTheme="minorEastAsia" w:hAnsiTheme="minorEastAsia" w:eastAsiaTheme="minorEastAsia"/>
          <w:sz w:val="21"/>
          <w:szCs w:val="21"/>
        </w:rPr>
        <w:t>。</w:t>
      </w:r>
      <w:r>
        <w:rPr>
          <w:rFonts w:hint="eastAsia" w:asciiTheme="minorEastAsia" w:hAnsiTheme="minorEastAsia" w:eastAsiaTheme="minorEastAsia"/>
          <w:b/>
          <w:bCs/>
          <w:sz w:val="21"/>
          <w:szCs w:val="21"/>
        </w:rPr>
        <w:t>乙方信息披露内容构成本协议不可分割的一部分，与本协议具有同等效力，甲方应在充分知晓、理解有关信息披露内容后签署本协议，并在签署本协议后持续关注。</w:t>
      </w:r>
    </w:p>
    <w:p>
      <w:pPr>
        <w:tabs>
          <w:tab w:val="left" w:pos="360"/>
        </w:tabs>
        <w:snapToGrid w:val="0"/>
        <w:spacing w:line="276" w:lineRule="auto"/>
        <w:ind w:firstLine="420"/>
        <w:rPr>
          <w:rFonts w:asciiTheme="minorEastAsia" w:hAnsiTheme="minorEastAsia" w:eastAsiaTheme="minorEastAsia"/>
          <w:sz w:val="21"/>
          <w:szCs w:val="21"/>
        </w:rPr>
      </w:pPr>
      <w:r>
        <w:rPr>
          <w:rFonts w:asciiTheme="minorEastAsia" w:hAnsiTheme="minorEastAsia" w:eastAsiaTheme="minorEastAsia"/>
          <w:sz w:val="21"/>
          <w:szCs w:val="21"/>
        </w:rPr>
        <w:t>3</w:t>
      </w:r>
      <w:r>
        <w:rPr>
          <w:rFonts w:hint="eastAsia" w:asciiTheme="minorEastAsia" w:hAnsiTheme="minorEastAsia" w:eastAsiaTheme="minorEastAsia"/>
          <w:sz w:val="21"/>
          <w:szCs w:val="21"/>
        </w:rPr>
        <w:t>.乙方及销售（代理销售）机构按照《理财产品说明书》约定向甲</w:t>
      </w:r>
      <w:bookmarkStart w:id="58" w:name="_Hlk46953337"/>
      <w:r>
        <w:rPr>
          <w:rFonts w:hint="eastAsia" w:asciiTheme="minorEastAsia" w:hAnsiTheme="minorEastAsia" w:eastAsiaTheme="minorEastAsia"/>
          <w:sz w:val="21"/>
          <w:szCs w:val="21"/>
        </w:rPr>
        <w:t>方进行理财产品份额的收益分配和资金清算分配并将</w:t>
      </w:r>
      <w:bookmarkEnd w:id="58"/>
      <w:r>
        <w:rPr>
          <w:rFonts w:hint="eastAsia" w:asciiTheme="minorEastAsia" w:hAnsiTheme="minorEastAsia" w:eastAsiaTheme="minorEastAsia"/>
          <w:sz w:val="21"/>
          <w:szCs w:val="21"/>
        </w:rPr>
        <w:t>对应资金划入甲方理财产品指定账户后，即视为乙方已向甲方完成收益分配和资金的清算分配。</w:t>
      </w:r>
      <w:r>
        <w:rPr>
          <w:rFonts w:hint="eastAsia" w:asciiTheme="minorEastAsia" w:hAnsiTheme="minorEastAsia" w:eastAsiaTheme="minorEastAsia"/>
          <w:b/>
          <w:bCs/>
          <w:sz w:val="21"/>
          <w:szCs w:val="21"/>
        </w:rPr>
        <w:t>因甲方理财产品指定账户冻结、挂失、换卡、销户、长期不动户等原因造成账户变更或异常，甲方应及时到销售（代理销售）机构办理变更手续。如因甲方未及时办理变更手续而造成乙方及销售（代理销售）机构无法向甲方进行正常收益分配和资金清算分配，由此导致甲方损失的由甲方自行承担，乙方不承担责任。</w:t>
      </w:r>
    </w:p>
    <w:p>
      <w:pPr>
        <w:tabs>
          <w:tab w:val="left" w:pos="360"/>
        </w:tabs>
        <w:snapToGrid w:val="0"/>
        <w:spacing w:line="276" w:lineRule="auto"/>
        <w:ind w:firstLine="420"/>
        <w:rPr>
          <w:rFonts w:hint="eastAsia" w:asciiTheme="minorEastAsia" w:hAnsiTheme="minorEastAsia" w:eastAsiaTheme="minorEastAsia"/>
          <w:sz w:val="21"/>
          <w:szCs w:val="21"/>
        </w:rPr>
      </w:pPr>
      <w:r>
        <w:rPr>
          <w:rFonts w:asciiTheme="minorEastAsia" w:hAnsiTheme="minorEastAsia" w:eastAsiaTheme="minorEastAsia"/>
          <w:sz w:val="21"/>
          <w:szCs w:val="21"/>
        </w:rPr>
        <w:t>4.</w:t>
      </w:r>
      <w:r>
        <w:rPr>
          <w:rFonts w:hint="eastAsia" w:asciiTheme="minorEastAsia" w:hAnsiTheme="minorEastAsia" w:eastAsiaTheme="minorEastAsia"/>
          <w:sz w:val="21"/>
          <w:szCs w:val="21"/>
        </w:rPr>
        <w:t>如因司法机关或行政机关依法对甲方采取强制措施或因第三方行使相关权利（包括但不限于质权）导致甲方本次认购或申购理财产品项下权益、理财资金或理财产品兑付回款账户被冻结、扣划，</w:t>
      </w:r>
      <w:r>
        <w:rPr>
          <w:rFonts w:hint="eastAsia" w:asciiTheme="minorEastAsia" w:hAnsiTheme="minorEastAsia" w:eastAsiaTheme="minorEastAsia"/>
          <w:b/>
          <w:bCs/>
          <w:sz w:val="21"/>
          <w:szCs w:val="21"/>
        </w:rPr>
        <w:t>则乙方有权根据实际情况全额终止理财交易，并停止向甲方支付投资本金及收益，由此而产生的一切损失及费用将由甲方承担，乙方有权将此损失及费用从甲方的理财本金以及收益中扣除</w:t>
      </w:r>
      <w:r>
        <w:rPr>
          <w:rFonts w:hint="eastAsia" w:asciiTheme="minorEastAsia" w:hAnsiTheme="minorEastAsia" w:eastAsiaTheme="minorEastAsia"/>
          <w:sz w:val="21"/>
          <w:szCs w:val="21"/>
        </w:rPr>
        <w:t>。</w:t>
      </w:r>
    </w:p>
    <w:p>
      <w:pPr>
        <w:tabs>
          <w:tab w:val="left" w:pos="360"/>
        </w:tabs>
        <w:snapToGrid w:val="0"/>
        <w:spacing w:line="276" w:lineRule="auto"/>
        <w:ind w:firstLine="420"/>
        <w:rPr>
          <w:rFonts w:hint="eastAsia" w:asciiTheme="minorEastAsia" w:hAnsiTheme="minorEastAsia" w:eastAsiaTheme="minorEastAsia"/>
          <w:sz w:val="21"/>
          <w:szCs w:val="21"/>
        </w:rPr>
      </w:pPr>
      <w:r>
        <w:rPr>
          <w:rFonts w:asciiTheme="minorEastAsia" w:hAnsiTheme="minorEastAsia" w:eastAsiaTheme="minorEastAsia"/>
          <w:sz w:val="21"/>
          <w:szCs w:val="21"/>
        </w:rPr>
        <w:t>5</w:t>
      </w:r>
      <w:r>
        <w:rPr>
          <w:rFonts w:hint="eastAsia" w:asciiTheme="minorEastAsia" w:hAnsiTheme="minorEastAsia" w:eastAsiaTheme="minorEastAsia"/>
          <w:sz w:val="21"/>
          <w:szCs w:val="21"/>
        </w:rPr>
        <w:t>.乙方应按照法律法规、监管规定和理财销售文件的约定披露产品相关信息。</w:t>
      </w:r>
    </w:p>
    <w:p>
      <w:pPr>
        <w:tabs>
          <w:tab w:val="left" w:pos="360"/>
        </w:tabs>
        <w:snapToGrid w:val="0"/>
        <w:spacing w:line="276" w:lineRule="auto"/>
        <w:ind w:firstLine="420"/>
        <w:rPr>
          <w:rFonts w:asciiTheme="minorEastAsia" w:hAnsiTheme="minorEastAsia" w:eastAsiaTheme="minorEastAsia"/>
          <w:sz w:val="21"/>
          <w:szCs w:val="21"/>
        </w:rPr>
      </w:pPr>
      <w:r>
        <w:rPr>
          <w:rFonts w:asciiTheme="minorEastAsia" w:hAnsiTheme="minorEastAsia" w:eastAsiaTheme="minorEastAsia"/>
          <w:sz w:val="21"/>
          <w:szCs w:val="21"/>
        </w:rPr>
        <w:t>6</w:t>
      </w:r>
      <w:r>
        <w:rPr>
          <w:rFonts w:hint="eastAsia" w:asciiTheme="minorEastAsia" w:hAnsiTheme="minorEastAsia" w:eastAsiaTheme="minorEastAsia"/>
          <w:sz w:val="21"/>
          <w:szCs w:val="21"/>
        </w:rPr>
        <w:t>.如果发生本理财产品所投资资产项下义务人违约等情形，</w:t>
      </w:r>
      <w:r>
        <w:rPr>
          <w:rFonts w:hint="eastAsia" w:asciiTheme="minorEastAsia" w:hAnsiTheme="minorEastAsia" w:eastAsiaTheme="minorEastAsia"/>
          <w:b/>
          <w:bCs/>
          <w:sz w:val="21"/>
          <w:szCs w:val="21"/>
        </w:rPr>
        <w:t>甲方同意，乙方有权向上述义务人进行追索，追索期间所发生的费用（包括但不限于诉讼费、仲裁费、律师费等全部费用）由理财产品承担，</w:t>
      </w:r>
      <w:bookmarkStart w:id="59" w:name="_Hlk46953385"/>
      <w:r>
        <w:rPr>
          <w:rFonts w:hint="eastAsia" w:asciiTheme="minorEastAsia" w:hAnsiTheme="minorEastAsia" w:eastAsiaTheme="minorEastAsia"/>
          <w:b/>
          <w:bCs/>
          <w:sz w:val="21"/>
          <w:szCs w:val="21"/>
        </w:rPr>
        <w:t>将从追索回来的款项中优先扣除</w:t>
      </w:r>
      <w:bookmarkEnd w:id="59"/>
      <w:r>
        <w:rPr>
          <w:rFonts w:hint="eastAsia" w:asciiTheme="minorEastAsia" w:hAnsiTheme="minorEastAsia" w:eastAsiaTheme="minorEastAsia"/>
          <w:sz w:val="21"/>
          <w:szCs w:val="21"/>
        </w:rPr>
        <w:t>。</w:t>
      </w:r>
    </w:p>
    <w:p>
      <w:pPr>
        <w:tabs>
          <w:tab w:val="left" w:pos="360"/>
        </w:tabs>
        <w:snapToGrid w:val="0"/>
        <w:spacing w:line="276" w:lineRule="auto"/>
        <w:ind w:firstLine="420"/>
        <w:rPr>
          <w:rFonts w:asciiTheme="minorEastAsia" w:hAnsiTheme="minorEastAsia" w:eastAsiaTheme="minorEastAsia"/>
          <w:sz w:val="21"/>
          <w:szCs w:val="21"/>
        </w:rPr>
      </w:pPr>
      <w:r>
        <w:rPr>
          <w:rFonts w:asciiTheme="minorEastAsia" w:hAnsiTheme="minorEastAsia" w:eastAsiaTheme="minorEastAsia"/>
          <w:sz w:val="21"/>
          <w:szCs w:val="21"/>
        </w:rPr>
        <w:t>7</w:t>
      </w:r>
      <w:r>
        <w:rPr>
          <w:rFonts w:hint="eastAsia" w:asciiTheme="minorEastAsia" w:hAnsiTheme="minorEastAsia" w:eastAsiaTheme="minorEastAsia"/>
          <w:sz w:val="21"/>
          <w:szCs w:val="21"/>
        </w:rPr>
        <w:t>.乙方作为理财产品管理人，全权负责理财产品资金的运用和理财产品资产的管理，有权参加与理财产品所投资资产相关的所有会议，并对相关事项进行表决；乙方有权代表甲方利益，按照法律法规和监管部门相关规定以及投资相关的法律文件的约定对理财产品投资产生的风险资产进行多种方式的处置，包括但不限于转让、重组、债转股、资产证券化、委外催收、抵债资产收取与处置、破产重整。</w:t>
      </w:r>
      <w:r>
        <w:rPr>
          <w:rFonts w:hint="eastAsia" w:asciiTheme="minorEastAsia" w:hAnsiTheme="minorEastAsia" w:eastAsiaTheme="minorEastAsia"/>
          <w:b/>
          <w:bCs/>
          <w:sz w:val="21"/>
          <w:szCs w:val="21"/>
        </w:rPr>
        <w:t>甲方对此充分理解并同意该等授权安排。</w:t>
      </w:r>
      <w:r>
        <w:rPr>
          <w:rFonts w:hint="eastAsia" w:asciiTheme="minorEastAsia" w:hAnsiTheme="minorEastAsia" w:eastAsiaTheme="minorEastAsia"/>
          <w:sz w:val="21"/>
          <w:szCs w:val="21"/>
        </w:rPr>
        <w:t xml:space="preserve"> </w:t>
      </w:r>
    </w:p>
    <w:p>
      <w:pPr>
        <w:tabs>
          <w:tab w:val="left" w:pos="360"/>
        </w:tabs>
        <w:snapToGrid w:val="0"/>
        <w:spacing w:line="276" w:lineRule="auto"/>
        <w:ind w:firstLine="420"/>
        <w:rPr>
          <w:rFonts w:asciiTheme="minorEastAsia" w:hAnsiTheme="minorEastAsia" w:eastAsiaTheme="minorEastAsia"/>
          <w:sz w:val="21"/>
          <w:szCs w:val="21"/>
        </w:rPr>
      </w:pPr>
      <w:r>
        <w:rPr>
          <w:rFonts w:asciiTheme="minorEastAsia" w:hAnsiTheme="minorEastAsia" w:eastAsiaTheme="minorEastAsia"/>
          <w:sz w:val="21"/>
          <w:szCs w:val="21"/>
        </w:rPr>
        <w:t>8</w:t>
      </w:r>
      <w:r>
        <w:rPr>
          <w:rFonts w:hint="eastAsia" w:asciiTheme="minorEastAsia" w:hAnsiTheme="minorEastAsia" w:eastAsiaTheme="minorEastAsia"/>
          <w:sz w:val="21"/>
          <w:szCs w:val="21"/>
        </w:rPr>
        <w:t>.乙方有权按照反洗钱、反恐怖融资、非居民金融账户涉税信息尽职调查及理财产品登记等相关法律法规和监管要求，向甲方或代理销售机构收集甲方身份信息、持有理财产品信息、理财账户信息、交易明细信息等相关信息，并按规定向监管机构、理财产品登记机构等有权机关进行登记报送。</w:t>
      </w:r>
    </w:p>
    <w:p>
      <w:pPr>
        <w:tabs>
          <w:tab w:val="left" w:pos="360"/>
        </w:tabs>
        <w:snapToGrid w:val="0"/>
        <w:spacing w:line="276" w:lineRule="auto"/>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在乙方办理本协议项下相关事项所必需的情形下，</w:t>
      </w:r>
      <w:r>
        <w:rPr>
          <w:rFonts w:hint="eastAsia" w:asciiTheme="minorEastAsia" w:hAnsiTheme="minorEastAsia" w:eastAsiaTheme="minorEastAsia"/>
          <w:b/>
          <w:bCs/>
          <w:sz w:val="21"/>
          <w:szCs w:val="21"/>
        </w:rPr>
        <w:t>甲方同意并授权乙方向乙方集团成员、代理销售机构、服务机构及其他乙方认为必要的业务合作机构提供乙方获取的甲方个人信息，范围包括但不限于甲方的身份信息、账户信息、交易信息等个人信息。</w:t>
      </w:r>
      <w:r>
        <w:rPr>
          <w:rFonts w:hint="eastAsia" w:asciiTheme="minorEastAsia" w:hAnsiTheme="minorEastAsia" w:eastAsiaTheme="minorEastAsia"/>
          <w:sz w:val="21"/>
          <w:szCs w:val="21"/>
        </w:rPr>
        <w:t>乙方承诺将向上述第三方明确其保护甲方个人信息的职责并要求其承担相应保密义务，同时要求上述第三方为处理本协议项下事务之目的接触并按照乙方的业务需要以及“最少必须”原则使用甲方个人信息。</w:t>
      </w:r>
    </w:p>
    <w:p>
      <w:pPr>
        <w:tabs>
          <w:tab w:val="left" w:pos="360"/>
        </w:tabs>
        <w:snapToGrid w:val="0"/>
        <w:spacing w:line="276" w:lineRule="auto"/>
        <w:ind w:firstLine="420"/>
        <w:rPr>
          <w:rFonts w:asciiTheme="minorEastAsia" w:hAnsiTheme="minorEastAsia" w:eastAsiaTheme="minorEastAsia"/>
          <w:b/>
          <w:bCs/>
          <w:sz w:val="21"/>
          <w:szCs w:val="21"/>
        </w:rPr>
      </w:pPr>
      <w:r>
        <w:rPr>
          <w:rFonts w:hint="eastAsia" w:asciiTheme="minorEastAsia" w:hAnsiTheme="minorEastAsia" w:eastAsiaTheme="minorEastAsia"/>
          <w:sz w:val="21"/>
          <w:szCs w:val="21"/>
        </w:rPr>
        <w:t>乙方对理财产品销售过程中获知的甲方信息承担保密义务，非经甲方事先许可，不得向上述授权范围之外的第三方透露，但法律法规或监管规定另有要求的除外。</w:t>
      </w:r>
      <w:r>
        <w:rPr>
          <w:rFonts w:hint="eastAsia" w:asciiTheme="minorEastAsia" w:hAnsiTheme="minorEastAsia" w:eastAsiaTheme="minorEastAsia"/>
          <w:b/>
          <w:bCs/>
          <w:sz w:val="21"/>
          <w:szCs w:val="21"/>
        </w:rPr>
        <w:t>甲方充分理解并同意上述授权安排，并知悉该同意的结果系为满足法律法规、监管规定或处理本协议项下事务之目的。</w:t>
      </w:r>
    </w:p>
    <w:p>
      <w:pPr>
        <w:tabs>
          <w:tab w:val="left" w:pos="360"/>
        </w:tabs>
        <w:snapToGrid w:val="0"/>
        <w:spacing w:line="276" w:lineRule="auto"/>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9.乙方或代理销售机构发现或有合理理由怀疑甲方或其资金存在洗钱、恐怖融资、逃税等嫌疑，或甲方存在其他违约行为的，</w:t>
      </w:r>
      <w:r>
        <w:rPr>
          <w:rFonts w:hint="eastAsia" w:asciiTheme="minorEastAsia" w:hAnsiTheme="minorEastAsia" w:eastAsiaTheme="minorEastAsia"/>
          <w:b/>
          <w:bCs/>
          <w:sz w:val="21"/>
          <w:szCs w:val="21"/>
        </w:rPr>
        <w:t>乙方有权提前终止本协议，造成甲方损失的，乙方不承担责任</w:t>
      </w:r>
      <w:r>
        <w:rPr>
          <w:rFonts w:hint="eastAsia" w:asciiTheme="minorEastAsia" w:hAnsiTheme="minorEastAsia" w:eastAsiaTheme="minorEastAsia"/>
          <w:sz w:val="21"/>
          <w:szCs w:val="21"/>
        </w:rPr>
        <w:t>。</w:t>
      </w:r>
    </w:p>
    <w:p>
      <w:pPr>
        <w:tabs>
          <w:tab w:val="left" w:pos="360"/>
        </w:tabs>
        <w:snapToGrid w:val="0"/>
        <w:spacing w:line="276" w:lineRule="auto"/>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1</w:t>
      </w:r>
      <w:r>
        <w:rPr>
          <w:rFonts w:asciiTheme="minorEastAsia" w:hAnsiTheme="minorEastAsia" w:eastAsiaTheme="minorEastAsia"/>
          <w:sz w:val="21"/>
          <w:szCs w:val="21"/>
        </w:rPr>
        <w:t>0.</w:t>
      </w:r>
      <w:r>
        <w:rPr>
          <w:rFonts w:hint="eastAsia" w:asciiTheme="minorEastAsia" w:hAnsiTheme="minorEastAsia" w:eastAsiaTheme="minorEastAsia"/>
          <w:sz w:val="21"/>
          <w:szCs w:val="21"/>
        </w:rPr>
        <w:t>乙方应建立健全内部管理制度，确保每只理财产品与所投资资产相对应，做到每只理财产品单独管理、单独建账和单独核算，公平对待所管理的不同理财产品，防范利益冲突，不得将理财产品财产归入其自有资产。</w:t>
      </w:r>
    </w:p>
    <w:p>
      <w:pPr>
        <w:snapToGrid w:val="0"/>
        <w:spacing w:line="276" w:lineRule="auto"/>
        <w:ind w:firstLine="420"/>
        <w:rPr>
          <w:rFonts w:hint="eastAsia" w:asciiTheme="minorEastAsia" w:hAnsiTheme="minorEastAsia" w:eastAsiaTheme="minorEastAsia"/>
          <w:sz w:val="21"/>
          <w:szCs w:val="21"/>
        </w:rPr>
      </w:pPr>
      <w:r>
        <w:rPr>
          <w:rFonts w:asciiTheme="minorEastAsia" w:hAnsiTheme="minorEastAsia" w:eastAsiaTheme="minorEastAsia"/>
          <w:sz w:val="21"/>
          <w:szCs w:val="21"/>
        </w:rPr>
        <w:t>11</w:t>
      </w:r>
      <w:r>
        <w:rPr>
          <w:rFonts w:hint="eastAsia" w:asciiTheme="minorEastAsia" w:hAnsiTheme="minorEastAsia" w:eastAsiaTheme="minorEastAsia"/>
          <w:sz w:val="21"/>
          <w:szCs w:val="21"/>
        </w:rPr>
        <w:t>.法律法规、监管文件规定或销售文件约定的其他乙方所享有的权利和应履行的义务。</w:t>
      </w:r>
    </w:p>
    <w:p>
      <w:pPr>
        <w:snapToGrid w:val="0"/>
        <w:spacing w:line="276" w:lineRule="auto"/>
        <w:ind w:firstLine="422"/>
        <w:rPr>
          <w:rFonts w:asciiTheme="minorEastAsia" w:hAnsiTheme="minorEastAsia" w:eastAsiaTheme="minorEastAsia"/>
          <w:b/>
          <w:sz w:val="21"/>
          <w:szCs w:val="21"/>
        </w:rPr>
      </w:pPr>
      <w:r>
        <w:rPr>
          <w:rFonts w:hint="eastAsia" w:asciiTheme="minorEastAsia" w:hAnsiTheme="minorEastAsia" w:eastAsiaTheme="minorEastAsia"/>
          <w:b/>
          <w:sz w:val="21"/>
          <w:szCs w:val="21"/>
        </w:rPr>
        <w:t>六、免责条款</w:t>
      </w:r>
    </w:p>
    <w:p>
      <w:pPr>
        <w:snapToGrid w:val="0"/>
        <w:spacing w:line="276" w:lineRule="auto"/>
        <w:ind w:firstLine="422"/>
        <w:rPr>
          <w:rFonts w:asciiTheme="minorEastAsia" w:hAnsiTheme="minorEastAsia" w:eastAsiaTheme="minorEastAsia"/>
          <w:b/>
          <w:bCs/>
          <w:sz w:val="21"/>
          <w:szCs w:val="21"/>
        </w:rPr>
      </w:pPr>
      <w:r>
        <w:rPr>
          <w:rFonts w:hint="eastAsia" w:asciiTheme="minorEastAsia" w:hAnsiTheme="minorEastAsia" w:eastAsiaTheme="minorEastAsia"/>
          <w:b/>
          <w:bCs/>
          <w:sz w:val="21"/>
          <w:szCs w:val="21"/>
        </w:rPr>
        <w:t>（一）非乙方原因（包括但不限于甲方未按时足额缴纳本金、甲方遗失本协议、甲方协议被盗用、本协议交易账户被司法机关等有权部门冻结、扣划等原因）造成的损失，乙方不承担责任。</w:t>
      </w:r>
    </w:p>
    <w:p>
      <w:pPr>
        <w:snapToGrid w:val="0"/>
        <w:spacing w:line="276" w:lineRule="auto"/>
        <w:ind w:firstLine="422"/>
        <w:rPr>
          <w:rFonts w:hint="eastAsia" w:asciiTheme="minorEastAsia" w:hAnsiTheme="minorEastAsia" w:eastAsiaTheme="minorEastAsia"/>
          <w:b/>
          <w:sz w:val="21"/>
          <w:szCs w:val="21"/>
        </w:rPr>
      </w:pPr>
      <w:r>
        <w:rPr>
          <w:rFonts w:hint="eastAsia" w:asciiTheme="minorEastAsia" w:hAnsiTheme="minorEastAsia" w:eastAsiaTheme="minorEastAsia"/>
          <w:b/>
          <w:sz w:val="21"/>
          <w:szCs w:val="21"/>
        </w:rPr>
        <w:t>（二）由于不可抗力事件或意外事件的出现，或乙方无过错且无法防止的外因，而导致的交易中断、延误等风险及损失，乙方不承担责任。不可抗力事件包括但不限于：法律法规及监管政策变化、紧急措施的出台，火灾、地震、洪水等自然灾害，战争、军事行动、罢工、流行病等不能预见、不能避免、不能克服的事件等，意外事件包括但不限于：系统故障、通讯故障、电力系统故障、金融危机、投资市场或投资品无法正常交易等。</w:t>
      </w:r>
    </w:p>
    <w:p>
      <w:pPr>
        <w:snapToGrid w:val="0"/>
        <w:spacing w:line="276" w:lineRule="auto"/>
        <w:ind w:firstLine="422"/>
        <w:rPr>
          <w:rFonts w:hint="eastAsia" w:asciiTheme="minorEastAsia" w:hAnsiTheme="minorEastAsia" w:eastAsiaTheme="minorEastAsia"/>
          <w:b/>
          <w:sz w:val="21"/>
          <w:szCs w:val="21"/>
        </w:rPr>
      </w:pPr>
      <w:r>
        <w:rPr>
          <w:rFonts w:hint="eastAsia" w:asciiTheme="minorEastAsia" w:hAnsiTheme="minorEastAsia" w:eastAsiaTheme="minorEastAsia"/>
          <w:b/>
          <w:sz w:val="21"/>
          <w:szCs w:val="21"/>
        </w:rPr>
        <w:t>发生前述情形时，乙方将在条件允许的情况下采取必要合理的补救措施，尽力保护甲方利益，以减少甲方损失。</w:t>
      </w:r>
    </w:p>
    <w:p>
      <w:pPr>
        <w:snapToGrid w:val="0"/>
        <w:spacing w:line="276" w:lineRule="auto"/>
        <w:ind w:firstLine="422"/>
        <w:rPr>
          <w:rFonts w:asciiTheme="minorEastAsia" w:hAnsiTheme="minorEastAsia" w:eastAsiaTheme="minorEastAsia"/>
          <w:b/>
          <w:bCs/>
          <w:sz w:val="21"/>
          <w:szCs w:val="21"/>
        </w:rPr>
      </w:pPr>
      <w:r>
        <w:rPr>
          <w:rFonts w:hint="eastAsia" w:asciiTheme="minorEastAsia" w:hAnsiTheme="minorEastAsia" w:eastAsiaTheme="minorEastAsia"/>
          <w:b/>
          <w:bCs/>
          <w:sz w:val="21"/>
          <w:szCs w:val="21"/>
        </w:rPr>
        <w:t>七、协议的生效和终止</w:t>
      </w:r>
    </w:p>
    <w:p>
      <w:pPr>
        <w:snapToGrid w:val="0"/>
        <w:spacing w:line="276" w:lineRule="auto"/>
        <w:ind w:firstLine="422"/>
        <w:rPr>
          <w:rFonts w:asciiTheme="minorEastAsia" w:hAnsiTheme="minorEastAsia" w:eastAsiaTheme="minorEastAsia"/>
          <w:b/>
          <w:bCs/>
          <w:sz w:val="21"/>
          <w:szCs w:val="21"/>
        </w:rPr>
      </w:pPr>
      <w:r>
        <w:rPr>
          <w:rFonts w:hint="eastAsia" w:asciiTheme="minorEastAsia" w:hAnsiTheme="minorEastAsia" w:eastAsiaTheme="minorEastAsia"/>
          <w:b/>
          <w:bCs/>
          <w:sz w:val="21"/>
          <w:szCs w:val="21"/>
        </w:rPr>
        <w:t>（一）甲方通过销售（代理销售）机构的营业网点等柜面渠道购买本产品的，本协议经甲方签署且乙方确认成交后生效。甲方通过销售（代理销售）机构的销售平台、网上银行、手机银行、智能柜台等电子渠道方式购买理财产品的，甲方通过点击同意本协议后且乙方确认成交后生效，双方认可电子数据的有效性。</w:t>
      </w:r>
    </w:p>
    <w:p>
      <w:pPr>
        <w:snapToGrid w:val="0"/>
        <w:spacing w:line="276" w:lineRule="auto"/>
        <w:ind w:firstLine="422"/>
        <w:rPr>
          <w:rFonts w:hint="eastAsia" w:asciiTheme="minorEastAsia" w:hAnsiTheme="minorEastAsia" w:eastAsiaTheme="minorEastAsia"/>
          <w:sz w:val="21"/>
          <w:szCs w:val="21"/>
        </w:rPr>
      </w:pPr>
      <w:r>
        <w:rPr>
          <w:rFonts w:hint="eastAsia" w:asciiTheme="minorEastAsia" w:hAnsiTheme="minorEastAsia" w:eastAsiaTheme="minorEastAsia"/>
          <w:b/>
          <w:bCs/>
          <w:sz w:val="21"/>
          <w:szCs w:val="21"/>
        </w:rPr>
        <w:t>甲方知悉并确认，乙方对于理财产品项下甲方认购/申购申请的确认即视为乙方对于本协议的签署和认可，甲方不得以乙方未在本协议中签章为由主张本协议不成立或不生效。</w:t>
      </w:r>
    </w:p>
    <w:p>
      <w:pPr>
        <w:snapToGrid w:val="0"/>
        <w:spacing w:line="276" w:lineRule="auto"/>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 xml:space="preserve">（二）除按《理财产品说明书》约定甲方或乙方享有的提前终止权或赎回权外，甲方有违约行为或交易资金被国家有权机关采取保全措施时，乙方有权提前终止本协议。 </w:t>
      </w:r>
    </w:p>
    <w:p>
      <w:pPr>
        <w:snapToGrid w:val="0"/>
        <w:spacing w:line="276" w:lineRule="auto"/>
        <w:ind w:firstLine="420"/>
        <w:rPr>
          <w:rFonts w:hint="eastAsia" w:asciiTheme="minorEastAsia" w:hAnsiTheme="minorEastAsia" w:eastAsiaTheme="minorEastAsia"/>
          <w:sz w:val="21"/>
          <w:szCs w:val="21"/>
        </w:rPr>
      </w:pPr>
      <w:r>
        <w:rPr>
          <w:rFonts w:hint="eastAsia" w:asciiTheme="minorEastAsia" w:hAnsiTheme="minorEastAsia" w:eastAsiaTheme="minorEastAsia"/>
          <w:sz w:val="21"/>
          <w:szCs w:val="21"/>
        </w:rPr>
        <w:t>（三）投资者购买理财产品失败，或理财产品到期/提前终止、投资者赎回并完成清算分配后，本协议自动终止。</w:t>
      </w:r>
    </w:p>
    <w:p>
      <w:pPr>
        <w:snapToGrid w:val="0"/>
        <w:spacing w:line="276" w:lineRule="auto"/>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（四）甲方通过销售（代理销售）机构提交的有效理财产品认购/申购/赎回/撤单等申请，并不意味着理财产品认购/申购/赎回/撤单等申请一定成功，具体认购/申购/赎回/撤单等申请的受理结果以乙方的确认为准。</w:t>
      </w:r>
    </w:p>
    <w:p>
      <w:pPr>
        <w:snapToGrid w:val="0"/>
        <w:spacing w:line="276" w:lineRule="auto"/>
        <w:ind w:firstLine="422"/>
        <w:rPr>
          <w:rFonts w:hint="eastAsia" w:asciiTheme="minorEastAsia" w:hAnsiTheme="minorEastAsia" w:eastAsiaTheme="minorEastAsia"/>
          <w:sz w:val="21"/>
          <w:szCs w:val="21"/>
        </w:rPr>
      </w:pPr>
      <w:r>
        <w:rPr>
          <w:rFonts w:hint="eastAsia" w:asciiTheme="minorEastAsia" w:hAnsiTheme="minorEastAsia" w:eastAsiaTheme="minorEastAsia"/>
          <w:b/>
          <w:bCs/>
          <w:sz w:val="21"/>
          <w:szCs w:val="21"/>
        </w:rPr>
        <w:t>（五）本协议及《理财产品说明书》项下各方权利义务履行完毕之日，本协议自动终止。</w:t>
      </w:r>
    </w:p>
    <w:p>
      <w:pPr>
        <w:spacing w:line="276" w:lineRule="auto"/>
        <w:ind w:firstLine="420"/>
        <w:rPr>
          <w:rFonts w:hint="eastAsia" w:asciiTheme="minorEastAsia" w:hAnsiTheme="minorEastAsia" w:eastAsiaTheme="minorEastAsia"/>
          <w:sz w:val="21"/>
          <w:szCs w:val="21"/>
        </w:rPr>
      </w:pPr>
      <w:r>
        <w:rPr>
          <w:rFonts w:hint="eastAsia" w:asciiTheme="minorEastAsia" w:hAnsiTheme="minorEastAsia" w:eastAsiaTheme="minorEastAsia"/>
          <w:sz w:val="21"/>
          <w:szCs w:val="21"/>
        </w:rPr>
        <w:t>（六）本协议一式贰份，甲乙双方各执壹份，具有同等法律效力。</w:t>
      </w:r>
      <w:bookmarkStart w:id="60" w:name="_Hlk155300765"/>
      <w:r>
        <w:rPr>
          <w:rFonts w:hint="eastAsia" w:asciiTheme="minorEastAsia" w:hAnsiTheme="minorEastAsia" w:eastAsiaTheme="minorEastAsia"/>
          <w:sz w:val="21"/>
          <w:szCs w:val="21"/>
        </w:rPr>
        <w:t>如双方对协议份数另有要求的，经双方协商一致并签署生效后亦具有同等法律效力</w:t>
      </w:r>
      <w:bookmarkEnd w:id="60"/>
      <w:r>
        <w:rPr>
          <w:rFonts w:hint="eastAsia" w:asciiTheme="minorEastAsia" w:hAnsiTheme="minorEastAsia" w:eastAsiaTheme="minorEastAsia"/>
          <w:sz w:val="21"/>
          <w:szCs w:val="21"/>
        </w:rPr>
        <w:t>。</w:t>
      </w:r>
    </w:p>
    <w:p>
      <w:pPr>
        <w:spacing w:line="276" w:lineRule="auto"/>
        <w:ind w:right="840" w:firstLine="422"/>
        <w:rPr>
          <w:rFonts w:hint="eastAsia" w:asciiTheme="minorEastAsia" w:hAnsiTheme="minorEastAsia" w:eastAsiaTheme="minorEastAsia"/>
          <w:b/>
          <w:bCs/>
          <w:sz w:val="21"/>
          <w:szCs w:val="21"/>
        </w:rPr>
      </w:pPr>
      <w:r>
        <w:rPr>
          <w:rFonts w:hint="eastAsia" w:asciiTheme="minorEastAsia" w:hAnsiTheme="minorEastAsia" w:eastAsiaTheme="minorEastAsia"/>
          <w:b/>
          <w:bCs/>
          <w:sz w:val="21"/>
          <w:szCs w:val="21"/>
        </w:rPr>
        <w:t>八、法律适用与争议解决</w:t>
      </w:r>
    </w:p>
    <w:p>
      <w:pPr>
        <w:snapToGrid w:val="0"/>
        <w:spacing w:line="276" w:lineRule="auto"/>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（一）如果甲方与乙方就本产品存在多份协议，则每份协议之间相互独立、互不影响，每份协议的效力及履行情况均独立于其他协议。</w:t>
      </w:r>
    </w:p>
    <w:p>
      <w:pPr>
        <w:snapToGrid w:val="0"/>
        <w:spacing w:line="276" w:lineRule="auto"/>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（二）如果由于任何原因使本协议下的部分条款无效，本协议其他条款效力不受影响。</w:t>
      </w:r>
    </w:p>
    <w:p>
      <w:pPr>
        <w:snapToGrid w:val="0"/>
        <w:spacing w:line="276" w:lineRule="auto"/>
        <w:ind w:firstLine="422"/>
        <w:rPr>
          <w:rFonts w:asciiTheme="minorEastAsia" w:hAnsiTheme="minorEastAsia" w:eastAsiaTheme="minorEastAsia"/>
          <w:sz w:val="21"/>
          <w:szCs w:val="21"/>
        </w:rPr>
      </w:pPr>
      <w:r>
        <w:rPr>
          <w:rFonts w:hint="eastAsia" w:asciiTheme="minorEastAsia" w:hAnsiTheme="minorEastAsia" w:eastAsiaTheme="minorEastAsia"/>
          <w:b/>
          <w:bCs/>
          <w:sz w:val="21"/>
          <w:szCs w:val="21"/>
        </w:rPr>
        <w:t>（三）本协议适用中华人民共和国大陆地区法律。本协议项下及与之有关的一切争议，双方应先协商解决，协商不成的，应向乙方住所地有管辖权的人民法院提起诉讼</w:t>
      </w:r>
      <w:r>
        <w:rPr>
          <w:rFonts w:hint="eastAsia" w:asciiTheme="minorEastAsia" w:hAnsiTheme="minorEastAsia" w:eastAsiaTheme="minorEastAsia"/>
          <w:sz w:val="21"/>
          <w:szCs w:val="21"/>
        </w:rPr>
        <w:t>。</w:t>
      </w:r>
    </w:p>
    <w:p>
      <w:pPr>
        <w:snapToGrid w:val="0"/>
        <w:spacing w:line="276" w:lineRule="auto"/>
        <w:ind w:firstLine="420"/>
        <w:rPr>
          <w:rFonts w:asciiTheme="minorEastAsia" w:hAnsiTheme="minorEastAsia" w:eastAsiaTheme="minorEastAsia"/>
          <w:sz w:val="21"/>
          <w:szCs w:val="21"/>
        </w:rPr>
      </w:pPr>
    </w:p>
    <w:p>
      <w:pPr>
        <w:snapToGrid w:val="0"/>
        <w:spacing w:line="276" w:lineRule="auto"/>
        <w:ind w:firstLine="420"/>
        <w:rPr>
          <w:rFonts w:hint="eastAsia" w:asciiTheme="minorEastAsia" w:hAnsiTheme="minorEastAsia" w:eastAsiaTheme="minorEastAsia"/>
          <w:sz w:val="21"/>
          <w:szCs w:val="21"/>
        </w:rPr>
      </w:pPr>
    </w:p>
    <w:p>
      <w:pPr>
        <w:spacing w:line="276" w:lineRule="auto"/>
        <w:ind w:firstLine="0" w:firstLineChars="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 xml:space="preserve">个人投资者签字： </w:t>
      </w:r>
      <w:r>
        <w:rPr>
          <w:rFonts w:cs="Arial" w:asciiTheme="minorEastAsia" w:hAnsiTheme="minorEastAsia" w:eastAsiaTheme="minorEastAsia"/>
          <w:sz w:val="21"/>
          <w:szCs w:val="21"/>
        </w:rPr>
        <w:t xml:space="preserve">                              </w:t>
      </w:r>
      <w:r>
        <w:rPr>
          <w:rFonts w:hint="eastAsia" w:asciiTheme="minorEastAsia" w:hAnsiTheme="minorEastAsia" w:eastAsiaTheme="minorEastAsia"/>
          <w:sz w:val="21"/>
          <w:szCs w:val="21"/>
        </w:rPr>
        <w:t>乙方：渝农商理财有限责任公司</w:t>
      </w:r>
    </w:p>
    <w:p>
      <w:pPr>
        <w:spacing w:line="276" w:lineRule="auto"/>
        <w:ind w:firstLine="420"/>
        <w:rPr>
          <w:rFonts w:cs="Arial" w:asciiTheme="minorEastAsia" w:hAnsiTheme="minorEastAsia" w:eastAsiaTheme="minorEastAsia"/>
          <w:sz w:val="21"/>
          <w:szCs w:val="21"/>
        </w:rPr>
      </w:pPr>
    </w:p>
    <w:p>
      <w:pPr>
        <w:spacing w:line="276" w:lineRule="auto"/>
        <w:ind w:firstLine="0" w:firstLineChars="0"/>
        <w:rPr>
          <w:rFonts w:hint="eastAsia" w:cs="Arial" w:asciiTheme="minorEastAsia" w:hAnsiTheme="minorEastAsia" w:eastAsiaTheme="minorEastAsia"/>
          <w:sz w:val="21"/>
          <w:szCs w:val="21"/>
        </w:rPr>
      </w:pPr>
      <w:r>
        <w:rPr>
          <w:rFonts w:hint="eastAsia" w:cs="Arial" w:asciiTheme="minorEastAsia" w:hAnsiTheme="minorEastAsia" w:eastAsiaTheme="minorEastAsia"/>
          <w:sz w:val="21"/>
          <w:szCs w:val="21"/>
        </w:rPr>
        <w:t xml:space="preserve">机构投资者（盖章）： </w:t>
      </w:r>
      <w:r>
        <w:rPr>
          <w:rFonts w:cs="Arial" w:asciiTheme="minorEastAsia" w:hAnsiTheme="minorEastAsia" w:eastAsiaTheme="minorEastAsia"/>
          <w:sz w:val="21"/>
          <w:szCs w:val="21"/>
        </w:rPr>
        <w:t xml:space="preserve">                          </w:t>
      </w:r>
    </w:p>
    <w:p>
      <w:pPr>
        <w:spacing w:line="276" w:lineRule="auto"/>
        <w:ind w:firstLine="0" w:firstLineChars="0"/>
        <w:rPr>
          <w:rFonts w:cs="Arial" w:asciiTheme="minorEastAsia" w:hAnsiTheme="minorEastAsia" w:eastAsiaTheme="minorEastAsia"/>
          <w:sz w:val="21"/>
          <w:szCs w:val="21"/>
        </w:rPr>
      </w:pPr>
    </w:p>
    <w:p>
      <w:pPr>
        <w:spacing w:line="276" w:lineRule="auto"/>
        <w:ind w:firstLine="0" w:firstLineChars="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机构投资者法定代表人或授权代表（签字或盖章）:</w:t>
      </w:r>
    </w:p>
    <w:p>
      <w:pPr>
        <w:spacing w:line="276" w:lineRule="auto"/>
        <w:ind w:firstLine="0" w:firstLineChars="0"/>
        <w:rPr>
          <w:rFonts w:cs="Arial" w:asciiTheme="minorEastAsia" w:hAnsiTheme="minorEastAsia" w:eastAsiaTheme="minorEastAsia"/>
          <w:sz w:val="21"/>
          <w:szCs w:val="21"/>
        </w:rPr>
      </w:pPr>
    </w:p>
    <w:p>
      <w:pPr>
        <w:spacing w:line="276" w:lineRule="auto"/>
        <w:ind w:firstLine="0" w:firstLineChars="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签约时间：</w:t>
      </w:r>
      <w:r>
        <w:rPr>
          <w:rFonts w:cs="Arial" w:asciiTheme="minorEastAsia" w:hAnsiTheme="minorEastAsia" w:eastAsiaTheme="minorEastAsia"/>
          <w:sz w:val="21"/>
          <w:szCs w:val="21"/>
        </w:rPr>
        <w:t>  </w:t>
      </w:r>
      <w:r>
        <w:rPr>
          <w:rFonts w:hint="eastAsia" w:cs="Arial" w:asciiTheme="minorEastAsia" w:hAnsiTheme="minorEastAsia" w:eastAsiaTheme="minorEastAsia"/>
          <w:sz w:val="21"/>
          <w:szCs w:val="21"/>
        </w:rPr>
        <w:t>　　年</w:t>
      </w:r>
      <w:r>
        <w:rPr>
          <w:rFonts w:cs="Arial" w:asciiTheme="minorEastAsia" w:hAnsiTheme="minorEastAsia" w:eastAsiaTheme="minorEastAsia"/>
          <w:sz w:val="21"/>
          <w:szCs w:val="21"/>
        </w:rPr>
        <w:t xml:space="preserve">    </w:t>
      </w:r>
      <w:r>
        <w:rPr>
          <w:rFonts w:hint="eastAsia" w:cs="Arial" w:asciiTheme="minorEastAsia" w:hAnsiTheme="minorEastAsia" w:eastAsiaTheme="minorEastAsia"/>
          <w:sz w:val="21"/>
          <w:szCs w:val="21"/>
        </w:rPr>
        <w:t>月</w:t>
      </w:r>
      <w:r>
        <w:rPr>
          <w:rFonts w:cs="Arial" w:asciiTheme="minorEastAsia" w:hAnsiTheme="minorEastAsia" w:eastAsiaTheme="minorEastAsia"/>
          <w:sz w:val="21"/>
          <w:szCs w:val="21"/>
        </w:rPr>
        <w:t xml:space="preserve">    </w:t>
      </w:r>
      <w:r>
        <w:rPr>
          <w:rFonts w:hint="eastAsia" w:cs="Arial" w:asciiTheme="minorEastAsia" w:hAnsiTheme="minorEastAsia" w:eastAsiaTheme="minorEastAsia"/>
          <w:sz w:val="21"/>
          <w:szCs w:val="21"/>
        </w:rPr>
        <w:t>日</w:t>
      </w:r>
      <w:r>
        <w:rPr>
          <w:rFonts w:cs="Arial" w:asciiTheme="minorEastAsia" w:hAnsiTheme="minorEastAsia" w:eastAsiaTheme="minorEastAsia"/>
          <w:sz w:val="21"/>
          <w:szCs w:val="21"/>
        </w:rPr>
        <w:t xml:space="preserve">               </w:t>
      </w:r>
      <w:r>
        <w:rPr>
          <w:rFonts w:hint="eastAsia" w:cs="Arial" w:asciiTheme="minorEastAsia" w:hAnsiTheme="minorEastAsia" w:eastAsiaTheme="minorEastAsia"/>
          <w:sz w:val="21"/>
          <w:szCs w:val="21"/>
        </w:rPr>
        <w:t>签约时间：</w:t>
      </w:r>
      <w:r>
        <w:rPr>
          <w:rFonts w:cs="Arial" w:asciiTheme="minorEastAsia" w:hAnsiTheme="minorEastAsia" w:eastAsiaTheme="minorEastAsia"/>
          <w:sz w:val="21"/>
          <w:szCs w:val="21"/>
        </w:rPr>
        <w:t>  </w:t>
      </w:r>
      <w:r>
        <w:rPr>
          <w:rFonts w:hint="eastAsia" w:cs="Arial" w:asciiTheme="minorEastAsia" w:hAnsiTheme="minorEastAsia" w:eastAsiaTheme="minorEastAsia"/>
          <w:sz w:val="21"/>
          <w:szCs w:val="21"/>
        </w:rPr>
        <w:t>　　年</w:t>
      </w:r>
      <w:r>
        <w:rPr>
          <w:rFonts w:cs="Arial" w:asciiTheme="minorEastAsia" w:hAnsiTheme="minorEastAsia" w:eastAsiaTheme="minorEastAsia"/>
          <w:sz w:val="21"/>
          <w:szCs w:val="21"/>
        </w:rPr>
        <w:t xml:space="preserve">    </w:t>
      </w:r>
      <w:r>
        <w:rPr>
          <w:rFonts w:hint="eastAsia" w:cs="Arial" w:asciiTheme="minorEastAsia" w:hAnsiTheme="minorEastAsia" w:eastAsiaTheme="minorEastAsia"/>
          <w:sz w:val="21"/>
          <w:szCs w:val="21"/>
        </w:rPr>
        <w:t>月</w:t>
      </w:r>
      <w:r>
        <w:rPr>
          <w:rFonts w:cs="Arial" w:asciiTheme="minorEastAsia" w:hAnsiTheme="minorEastAsia" w:eastAsiaTheme="minorEastAsia"/>
          <w:sz w:val="21"/>
          <w:szCs w:val="21"/>
        </w:rPr>
        <w:t xml:space="preserve">    </w:t>
      </w:r>
      <w:r>
        <w:rPr>
          <w:rFonts w:hint="eastAsia" w:cs="Arial" w:asciiTheme="minorEastAsia" w:hAnsiTheme="minorEastAsia" w:eastAsiaTheme="minorEastAsia"/>
          <w:sz w:val="21"/>
          <w:szCs w:val="21"/>
        </w:rPr>
        <w:t>日</w:t>
      </w:r>
    </w:p>
    <w:p>
      <w:pPr>
        <w:spacing w:line="276" w:lineRule="auto"/>
        <w:ind w:firstLine="0" w:firstLineChars="0"/>
        <w:rPr>
          <w:rFonts w:hint="eastAsia" w:cs="Arial" w:asciiTheme="minorEastAsia" w:hAnsiTheme="minorEastAsia" w:eastAsiaTheme="minorEastAsia"/>
          <w:sz w:val="21"/>
          <w:szCs w:val="21"/>
        </w:rPr>
      </w:pPr>
    </w:p>
    <w:p>
      <w:pPr>
        <w:widowControl/>
        <w:autoSpaceDE/>
        <w:autoSpaceDN/>
        <w:adjustRightInd/>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br w:type="page"/>
      </w:r>
    </w:p>
    <w:p>
      <w:pPr>
        <w:snapToGrid w:val="0"/>
        <w:spacing w:line="276" w:lineRule="auto"/>
        <w:ind w:firstLine="0" w:firstLineChars="0"/>
        <w:jc w:val="center"/>
        <w:rPr>
          <w:rFonts w:ascii="Times New Roman"/>
          <w:b/>
          <w:sz w:val="30"/>
          <w:szCs w:val="30"/>
        </w:rPr>
      </w:pPr>
      <w:r>
        <w:rPr>
          <w:rFonts w:ascii="Times New Roman"/>
          <w:b/>
          <w:sz w:val="30"/>
          <w:szCs w:val="30"/>
        </w:rPr>
        <w:t>理财产品代理销售协议书</w:t>
      </w:r>
    </w:p>
    <w:p>
      <w:pPr>
        <w:snapToGrid w:val="0"/>
        <w:spacing w:line="276" w:lineRule="auto"/>
        <w:ind w:firstLine="480"/>
        <w:jc w:val="center"/>
        <w:rPr>
          <w:rFonts w:ascii="Times New Roman" w:eastAsia="仿宋_GB2312"/>
          <w:szCs w:val="21"/>
        </w:rPr>
      </w:pPr>
    </w:p>
    <w:p>
      <w:pPr>
        <w:snapToGrid w:val="0"/>
        <w:spacing w:line="276" w:lineRule="auto"/>
        <w:ind w:firstLine="396"/>
        <w:rPr>
          <w:rFonts w:asciiTheme="minorEastAsia" w:hAnsiTheme="minorEastAsia" w:eastAsiaTheme="minorEastAsia"/>
          <w:spacing w:val="-6"/>
          <w:sz w:val="21"/>
          <w:szCs w:val="21"/>
        </w:rPr>
      </w:pPr>
      <w:r>
        <w:rPr>
          <w:rFonts w:asciiTheme="minorEastAsia" w:hAnsiTheme="minorEastAsia" w:eastAsiaTheme="minorEastAsia"/>
          <w:spacing w:val="-6"/>
          <w:sz w:val="21"/>
          <w:szCs w:val="21"/>
        </w:rPr>
        <w:t>本协议的甲方指</w:t>
      </w:r>
      <w:r>
        <w:rPr>
          <w:rFonts w:hint="eastAsia" w:asciiTheme="minorEastAsia" w:hAnsiTheme="minorEastAsia" w:eastAsiaTheme="minorEastAsia"/>
          <w:spacing w:val="-6"/>
          <w:sz w:val="21"/>
          <w:szCs w:val="21"/>
        </w:rPr>
        <w:t>投资者</w:t>
      </w:r>
      <w:r>
        <w:rPr>
          <w:rFonts w:asciiTheme="minorEastAsia" w:hAnsiTheme="minorEastAsia" w:eastAsiaTheme="minorEastAsia"/>
          <w:spacing w:val="-6"/>
          <w:sz w:val="21"/>
          <w:szCs w:val="21"/>
        </w:rPr>
        <w:t>，乙方指</w:t>
      </w:r>
      <w:r>
        <w:rPr>
          <w:rFonts w:hint="eastAsia" w:asciiTheme="minorEastAsia" w:hAnsiTheme="minorEastAsia" w:eastAsiaTheme="minorEastAsia"/>
          <w:spacing w:val="-6"/>
          <w:sz w:val="21"/>
          <w:szCs w:val="21"/>
        </w:rPr>
        <w:t>湖北银行股份有限公司</w:t>
      </w:r>
      <w:r>
        <w:rPr>
          <w:rFonts w:asciiTheme="minorEastAsia" w:hAnsiTheme="minorEastAsia" w:eastAsiaTheme="minorEastAsia"/>
          <w:spacing w:val="-6"/>
          <w:sz w:val="21"/>
          <w:szCs w:val="21"/>
        </w:rPr>
        <w:t>。</w:t>
      </w:r>
    </w:p>
    <w:p>
      <w:pPr>
        <w:snapToGrid w:val="0"/>
        <w:spacing w:line="276" w:lineRule="auto"/>
        <w:ind w:firstLine="396"/>
        <w:rPr>
          <w:rFonts w:asciiTheme="minorEastAsia" w:hAnsiTheme="minorEastAsia" w:eastAsiaTheme="minorEastAsia"/>
          <w:spacing w:val="-6"/>
          <w:sz w:val="21"/>
          <w:szCs w:val="21"/>
        </w:rPr>
      </w:pPr>
      <w:r>
        <w:rPr>
          <w:rFonts w:asciiTheme="minorEastAsia" w:hAnsiTheme="minorEastAsia" w:eastAsiaTheme="minorEastAsia"/>
          <w:spacing w:val="-6"/>
          <w:sz w:val="21"/>
          <w:szCs w:val="21"/>
        </w:rPr>
        <w:t>乙方为理财产品代理销售机构，接受理财产品发行</w:t>
      </w:r>
      <w:r>
        <w:rPr>
          <w:rFonts w:hint="eastAsia" w:asciiTheme="minorEastAsia" w:hAnsiTheme="minorEastAsia" w:eastAsiaTheme="minorEastAsia"/>
          <w:spacing w:val="-6"/>
          <w:sz w:val="21"/>
          <w:szCs w:val="21"/>
        </w:rPr>
        <w:t>与管理</w:t>
      </w:r>
      <w:r>
        <w:rPr>
          <w:rFonts w:asciiTheme="minorEastAsia" w:hAnsiTheme="minorEastAsia" w:eastAsiaTheme="minorEastAsia"/>
          <w:spacing w:val="-6"/>
          <w:sz w:val="21"/>
          <w:szCs w:val="21"/>
        </w:rPr>
        <w:t>机构的委托销售其发行</w:t>
      </w:r>
      <w:r>
        <w:rPr>
          <w:rFonts w:hint="eastAsia" w:asciiTheme="minorEastAsia" w:hAnsiTheme="minorEastAsia" w:eastAsiaTheme="minorEastAsia"/>
          <w:spacing w:val="-6"/>
          <w:sz w:val="21"/>
          <w:szCs w:val="21"/>
        </w:rPr>
        <w:t>与管理</w:t>
      </w:r>
      <w:r>
        <w:rPr>
          <w:rFonts w:asciiTheme="minorEastAsia" w:hAnsiTheme="minorEastAsia" w:eastAsiaTheme="minorEastAsia"/>
          <w:spacing w:val="-6"/>
          <w:sz w:val="21"/>
          <w:szCs w:val="21"/>
        </w:rPr>
        <w:t>的理财产品，甲方自愿购买乙方代理销售的理财产品。为规范甲乙双方在理财产品代理销售业务中权利和义务，经甲乙双方协商一致，达成协议如下：</w:t>
      </w:r>
    </w:p>
    <w:p>
      <w:pPr>
        <w:snapToGrid w:val="0"/>
        <w:spacing w:line="276" w:lineRule="auto"/>
        <w:ind w:firstLine="398"/>
        <w:rPr>
          <w:rFonts w:asciiTheme="minorEastAsia" w:hAnsiTheme="minorEastAsia" w:eastAsiaTheme="minorEastAsia"/>
          <w:b/>
          <w:bCs/>
          <w:spacing w:val="-6"/>
          <w:sz w:val="21"/>
          <w:szCs w:val="21"/>
        </w:rPr>
      </w:pPr>
      <w:r>
        <w:rPr>
          <w:rFonts w:asciiTheme="minorEastAsia" w:hAnsiTheme="minorEastAsia" w:eastAsiaTheme="minorEastAsia"/>
          <w:b/>
          <w:bCs/>
          <w:spacing w:val="-6"/>
          <w:sz w:val="21"/>
          <w:szCs w:val="21"/>
        </w:rPr>
        <w:t>一、重要提示</w:t>
      </w:r>
    </w:p>
    <w:p>
      <w:pPr>
        <w:snapToGrid w:val="0"/>
        <w:spacing w:line="276" w:lineRule="auto"/>
        <w:ind w:firstLine="398"/>
        <w:rPr>
          <w:rFonts w:asciiTheme="minorEastAsia" w:hAnsiTheme="minorEastAsia" w:eastAsiaTheme="minorEastAsia"/>
          <w:sz w:val="21"/>
          <w:szCs w:val="21"/>
        </w:rPr>
      </w:pPr>
      <w:r>
        <w:rPr>
          <w:rFonts w:asciiTheme="minorEastAsia" w:hAnsiTheme="minorEastAsia" w:eastAsiaTheme="minorEastAsia"/>
          <w:b/>
          <w:bCs/>
          <w:spacing w:val="-6"/>
          <w:sz w:val="21"/>
          <w:szCs w:val="21"/>
        </w:rPr>
        <w:t>1.风险揭示：</w:t>
      </w:r>
      <w:r>
        <w:rPr>
          <w:rFonts w:asciiTheme="minorEastAsia" w:hAnsiTheme="minorEastAsia" w:eastAsiaTheme="minorEastAsia"/>
          <w:b/>
          <w:bCs/>
          <w:sz w:val="21"/>
          <w:szCs w:val="21"/>
        </w:rPr>
        <w:t>理财非存款、产品有风险、投资须谨慎。</w:t>
      </w:r>
      <w:r>
        <w:rPr>
          <w:rFonts w:asciiTheme="minorEastAsia" w:hAnsiTheme="minorEastAsia" w:eastAsiaTheme="minorEastAsia"/>
          <w:sz w:val="21"/>
          <w:szCs w:val="21"/>
        </w:rPr>
        <w:t>本产品可能面临信用风险、市场风险、流动性风险等风险因素，具体详见销售文件。该等风险管理责任由产品发行</w:t>
      </w:r>
      <w:r>
        <w:rPr>
          <w:rFonts w:hint="eastAsia" w:asciiTheme="minorEastAsia" w:hAnsiTheme="minorEastAsia" w:eastAsiaTheme="minorEastAsia"/>
          <w:sz w:val="21"/>
          <w:szCs w:val="21"/>
        </w:rPr>
        <w:t>与管理</w:t>
      </w:r>
      <w:r>
        <w:rPr>
          <w:rFonts w:asciiTheme="minorEastAsia" w:hAnsiTheme="minorEastAsia" w:eastAsiaTheme="minorEastAsia"/>
          <w:sz w:val="21"/>
          <w:szCs w:val="21"/>
        </w:rPr>
        <w:t>机构承担，乙方不承担产品的风险管理责任。甲方在签署本协议前，应仔细阅读并充分理解拟认购理财产品销售文件的详细条款，并充分了解投资者的全部权利与义务以及产品可能发生的风险。其中，销售文件包括《理财产品投资协议书》、《代理销售协议书》、《理财产品说明书》、《风险揭示书》、《投资者权益须知》等。</w:t>
      </w:r>
    </w:p>
    <w:p>
      <w:pPr>
        <w:snapToGrid w:val="0"/>
        <w:spacing w:line="276" w:lineRule="auto"/>
        <w:ind w:firstLine="396"/>
        <w:rPr>
          <w:rFonts w:asciiTheme="minorEastAsia" w:hAnsiTheme="minorEastAsia" w:eastAsiaTheme="minorEastAsia"/>
          <w:spacing w:val="-6"/>
          <w:sz w:val="21"/>
          <w:szCs w:val="21"/>
        </w:rPr>
      </w:pPr>
      <w:r>
        <w:rPr>
          <w:rFonts w:asciiTheme="minorEastAsia" w:hAnsiTheme="minorEastAsia" w:eastAsiaTheme="minorEastAsia"/>
          <w:spacing w:val="-6"/>
          <w:sz w:val="21"/>
          <w:szCs w:val="21"/>
        </w:rPr>
        <w:t>2.本产品非乙方所发行的理财产品，乙方仅作为本产品的代理销售机构，非本产品的发行机构与管理机构，对本产品的业绩不做任何保证，不承担本产品的投资、兑付和风险管理责任。乙方受理的代销理财产品业务申请，以产品发行机构的最终确认结果为准。</w:t>
      </w:r>
    </w:p>
    <w:p>
      <w:pPr>
        <w:snapToGrid w:val="0"/>
        <w:spacing w:line="276" w:lineRule="auto"/>
        <w:ind w:firstLine="398"/>
        <w:rPr>
          <w:rFonts w:asciiTheme="minorEastAsia" w:hAnsiTheme="minorEastAsia" w:eastAsiaTheme="minorEastAsia"/>
          <w:b/>
          <w:bCs/>
          <w:spacing w:val="-6"/>
          <w:sz w:val="21"/>
          <w:szCs w:val="21"/>
        </w:rPr>
      </w:pPr>
      <w:r>
        <w:rPr>
          <w:rFonts w:asciiTheme="minorEastAsia" w:hAnsiTheme="minorEastAsia" w:eastAsiaTheme="minorEastAsia"/>
          <w:b/>
          <w:bCs/>
          <w:spacing w:val="-6"/>
          <w:sz w:val="21"/>
          <w:szCs w:val="21"/>
        </w:rPr>
        <w:t>3.甲方客户为个人的，在购买乙方代销的理财产品前，应进行有效风险承受能力的评估。甲方投资风险承受能力评估结果的有效期为一年，若风险承受能力评估结果已超过有效期或者在评级结果有效期内发生了可能影响甲方自身风险承受能力的情形，应重新进行风险承受能力评估。</w:t>
      </w:r>
    </w:p>
    <w:p>
      <w:pPr>
        <w:snapToGrid w:val="0"/>
        <w:spacing w:line="276" w:lineRule="auto"/>
        <w:ind w:firstLine="396"/>
        <w:rPr>
          <w:rFonts w:asciiTheme="minorEastAsia" w:hAnsiTheme="minorEastAsia" w:eastAsiaTheme="minorEastAsia"/>
          <w:spacing w:val="-6"/>
          <w:sz w:val="21"/>
          <w:szCs w:val="21"/>
        </w:rPr>
      </w:pPr>
      <w:r>
        <w:rPr>
          <w:rFonts w:asciiTheme="minorEastAsia" w:hAnsiTheme="minorEastAsia" w:eastAsiaTheme="minorEastAsia"/>
          <w:spacing w:val="-6"/>
          <w:sz w:val="21"/>
          <w:szCs w:val="21"/>
        </w:rPr>
        <w:t>4.根据理财产品投资范围、风险特征、流动性等不同因素，乙方代销的理财产品分为【R1</w:t>
      </w:r>
      <w:r>
        <w:rPr>
          <w:rFonts w:hint="eastAsia" w:asciiTheme="minorEastAsia" w:hAnsiTheme="minorEastAsia" w:eastAsiaTheme="minorEastAsia"/>
          <w:spacing w:val="-6"/>
          <w:sz w:val="21"/>
          <w:szCs w:val="21"/>
        </w:rPr>
        <w:t>/一级/（极</w:t>
      </w:r>
      <w:r>
        <w:rPr>
          <w:rFonts w:asciiTheme="minorEastAsia" w:hAnsiTheme="minorEastAsia" w:eastAsiaTheme="minorEastAsia"/>
          <w:spacing w:val="-6"/>
          <w:sz w:val="21"/>
          <w:szCs w:val="21"/>
        </w:rPr>
        <w:t>低风险产品</w:t>
      </w:r>
      <w:r>
        <w:rPr>
          <w:rFonts w:hint="eastAsia" w:asciiTheme="minorEastAsia" w:hAnsiTheme="minorEastAsia" w:eastAsiaTheme="minorEastAsia"/>
          <w:spacing w:val="-6"/>
          <w:sz w:val="21"/>
          <w:szCs w:val="21"/>
        </w:rPr>
        <w:t>）</w:t>
      </w:r>
      <w:r>
        <w:rPr>
          <w:rFonts w:asciiTheme="minorEastAsia" w:hAnsiTheme="minorEastAsia" w:eastAsiaTheme="minorEastAsia"/>
          <w:spacing w:val="-6"/>
          <w:sz w:val="21"/>
          <w:szCs w:val="21"/>
        </w:rPr>
        <w:t>、R2</w:t>
      </w:r>
      <w:r>
        <w:rPr>
          <w:rFonts w:hint="eastAsia" w:asciiTheme="minorEastAsia" w:hAnsiTheme="minorEastAsia" w:eastAsiaTheme="minorEastAsia"/>
          <w:spacing w:val="-6"/>
          <w:sz w:val="21"/>
          <w:szCs w:val="21"/>
        </w:rPr>
        <w:t>/二级/（较低</w:t>
      </w:r>
      <w:r>
        <w:rPr>
          <w:rFonts w:asciiTheme="minorEastAsia" w:hAnsiTheme="minorEastAsia" w:eastAsiaTheme="minorEastAsia"/>
          <w:spacing w:val="-6"/>
          <w:sz w:val="21"/>
          <w:szCs w:val="21"/>
        </w:rPr>
        <w:t>风险产品</w:t>
      </w:r>
      <w:r>
        <w:rPr>
          <w:rFonts w:hint="eastAsia" w:asciiTheme="minorEastAsia" w:hAnsiTheme="minorEastAsia" w:eastAsiaTheme="minorEastAsia"/>
          <w:spacing w:val="-6"/>
          <w:sz w:val="21"/>
          <w:szCs w:val="21"/>
        </w:rPr>
        <w:t>）</w:t>
      </w:r>
      <w:r>
        <w:rPr>
          <w:rFonts w:asciiTheme="minorEastAsia" w:hAnsiTheme="minorEastAsia" w:eastAsiaTheme="minorEastAsia"/>
          <w:spacing w:val="-6"/>
          <w:sz w:val="21"/>
          <w:szCs w:val="21"/>
        </w:rPr>
        <w:t>、R3</w:t>
      </w:r>
      <w:r>
        <w:rPr>
          <w:rFonts w:hint="eastAsia" w:asciiTheme="minorEastAsia" w:hAnsiTheme="minorEastAsia" w:eastAsiaTheme="minorEastAsia"/>
          <w:spacing w:val="-6"/>
          <w:sz w:val="21"/>
          <w:szCs w:val="21"/>
        </w:rPr>
        <w:t>/三级/（</w:t>
      </w:r>
      <w:r>
        <w:rPr>
          <w:rFonts w:asciiTheme="minorEastAsia" w:hAnsiTheme="minorEastAsia" w:eastAsiaTheme="minorEastAsia"/>
          <w:spacing w:val="-6"/>
          <w:sz w:val="21"/>
          <w:szCs w:val="21"/>
        </w:rPr>
        <w:t>中</w:t>
      </w:r>
      <w:r>
        <w:rPr>
          <w:rFonts w:hint="eastAsia" w:asciiTheme="minorEastAsia" w:hAnsiTheme="minorEastAsia" w:eastAsiaTheme="minorEastAsia"/>
          <w:spacing w:val="-6"/>
          <w:sz w:val="21"/>
          <w:szCs w:val="21"/>
        </w:rPr>
        <w:t>等</w:t>
      </w:r>
      <w:r>
        <w:rPr>
          <w:rFonts w:asciiTheme="minorEastAsia" w:hAnsiTheme="minorEastAsia" w:eastAsiaTheme="minorEastAsia"/>
          <w:spacing w:val="-6"/>
          <w:sz w:val="21"/>
          <w:szCs w:val="21"/>
        </w:rPr>
        <w:t>风险产品</w:t>
      </w:r>
      <w:r>
        <w:rPr>
          <w:rFonts w:hint="eastAsia" w:asciiTheme="minorEastAsia" w:hAnsiTheme="minorEastAsia" w:eastAsiaTheme="minorEastAsia"/>
          <w:spacing w:val="-6"/>
          <w:sz w:val="21"/>
          <w:szCs w:val="21"/>
        </w:rPr>
        <w:t>）</w:t>
      </w:r>
      <w:r>
        <w:rPr>
          <w:rFonts w:asciiTheme="minorEastAsia" w:hAnsiTheme="minorEastAsia" w:eastAsiaTheme="minorEastAsia"/>
          <w:spacing w:val="-6"/>
          <w:sz w:val="21"/>
          <w:szCs w:val="21"/>
        </w:rPr>
        <w:t>、R4</w:t>
      </w:r>
      <w:r>
        <w:rPr>
          <w:rFonts w:hint="eastAsia" w:asciiTheme="minorEastAsia" w:hAnsiTheme="minorEastAsia" w:eastAsiaTheme="minorEastAsia"/>
          <w:spacing w:val="-6"/>
          <w:sz w:val="21"/>
          <w:szCs w:val="21"/>
        </w:rPr>
        <w:t>/四级/（</w:t>
      </w:r>
      <w:r>
        <w:rPr>
          <w:rFonts w:asciiTheme="minorEastAsia" w:hAnsiTheme="minorEastAsia" w:eastAsiaTheme="minorEastAsia"/>
          <w:spacing w:val="-6"/>
          <w:sz w:val="21"/>
          <w:szCs w:val="21"/>
        </w:rPr>
        <w:t>中高风险产品</w:t>
      </w:r>
      <w:r>
        <w:rPr>
          <w:rFonts w:hint="eastAsia" w:asciiTheme="minorEastAsia" w:hAnsiTheme="minorEastAsia" w:eastAsiaTheme="minorEastAsia"/>
          <w:spacing w:val="-6"/>
          <w:sz w:val="21"/>
          <w:szCs w:val="21"/>
        </w:rPr>
        <w:t>）</w:t>
      </w:r>
      <w:r>
        <w:rPr>
          <w:rFonts w:asciiTheme="minorEastAsia" w:hAnsiTheme="minorEastAsia" w:eastAsiaTheme="minorEastAsia"/>
          <w:spacing w:val="-6"/>
          <w:sz w:val="21"/>
          <w:szCs w:val="21"/>
        </w:rPr>
        <w:t>、R5</w:t>
      </w:r>
      <w:r>
        <w:rPr>
          <w:rFonts w:hint="eastAsia" w:asciiTheme="minorEastAsia" w:hAnsiTheme="minorEastAsia" w:eastAsiaTheme="minorEastAsia"/>
          <w:spacing w:val="-6"/>
          <w:sz w:val="21"/>
          <w:szCs w:val="21"/>
        </w:rPr>
        <w:t>/五级/（</w:t>
      </w:r>
      <w:r>
        <w:rPr>
          <w:rFonts w:asciiTheme="minorEastAsia" w:hAnsiTheme="minorEastAsia" w:eastAsiaTheme="minorEastAsia"/>
          <w:spacing w:val="-6"/>
          <w:sz w:val="21"/>
          <w:szCs w:val="21"/>
        </w:rPr>
        <w:t>高风险产品</w:t>
      </w:r>
      <w:r>
        <w:rPr>
          <w:rFonts w:hint="eastAsia" w:asciiTheme="minorEastAsia" w:hAnsiTheme="minorEastAsia" w:eastAsiaTheme="minorEastAsia"/>
          <w:spacing w:val="-6"/>
          <w:sz w:val="21"/>
          <w:szCs w:val="21"/>
        </w:rPr>
        <w:t>）</w:t>
      </w:r>
      <w:r>
        <w:rPr>
          <w:rFonts w:asciiTheme="minorEastAsia" w:hAnsiTheme="minorEastAsia" w:eastAsiaTheme="minorEastAsia"/>
          <w:spacing w:val="-6"/>
          <w:sz w:val="21"/>
          <w:szCs w:val="21"/>
        </w:rPr>
        <w:t>】共五个风险等级，与个人客户在乙方评估的风险承受能力等级【保守型（A1）、</w:t>
      </w:r>
      <w:r>
        <w:rPr>
          <w:rFonts w:hint="eastAsia" w:asciiTheme="minorEastAsia" w:hAnsiTheme="minorEastAsia" w:eastAsiaTheme="minorEastAsia"/>
          <w:spacing w:val="-6"/>
          <w:sz w:val="21"/>
          <w:szCs w:val="21"/>
        </w:rPr>
        <w:t>稳健型</w:t>
      </w:r>
      <w:r>
        <w:rPr>
          <w:rFonts w:asciiTheme="minorEastAsia" w:hAnsiTheme="minorEastAsia" w:eastAsiaTheme="minorEastAsia"/>
          <w:spacing w:val="-6"/>
          <w:sz w:val="21"/>
          <w:szCs w:val="21"/>
        </w:rPr>
        <w:t>（A2）、</w:t>
      </w:r>
      <w:r>
        <w:rPr>
          <w:rFonts w:hint="eastAsia" w:asciiTheme="minorEastAsia" w:hAnsiTheme="minorEastAsia" w:eastAsiaTheme="minorEastAsia"/>
          <w:spacing w:val="-6"/>
          <w:sz w:val="21"/>
          <w:szCs w:val="21"/>
        </w:rPr>
        <w:t>平衡型</w:t>
      </w:r>
      <w:r>
        <w:rPr>
          <w:rFonts w:asciiTheme="minorEastAsia" w:hAnsiTheme="minorEastAsia" w:eastAsiaTheme="minorEastAsia"/>
          <w:spacing w:val="-6"/>
          <w:sz w:val="21"/>
          <w:szCs w:val="21"/>
        </w:rPr>
        <w:t>（A3）、</w:t>
      </w:r>
      <w:r>
        <w:rPr>
          <w:rFonts w:hint="eastAsia" w:asciiTheme="minorEastAsia" w:hAnsiTheme="minorEastAsia" w:eastAsiaTheme="minorEastAsia"/>
          <w:spacing w:val="-6"/>
          <w:sz w:val="21"/>
          <w:szCs w:val="21"/>
        </w:rPr>
        <w:t>积极型</w:t>
      </w:r>
      <w:r>
        <w:rPr>
          <w:rFonts w:asciiTheme="minorEastAsia" w:hAnsiTheme="minorEastAsia" w:eastAsiaTheme="minorEastAsia"/>
          <w:spacing w:val="-6"/>
          <w:sz w:val="21"/>
          <w:szCs w:val="21"/>
        </w:rPr>
        <w:t>（A4）、激进型（A5）】共五个等级一一对应。</w:t>
      </w:r>
      <w:r>
        <w:rPr>
          <w:rFonts w:asciiTheme="minorEastAsia" w:hAnsiTheme="minorEastAsia" w:eastAsiaTheme="minorEastAsia"/>
          <w:b/>
          <w:bCs/>
          <w:spacing w:val="-6"/>
          <w:sz w:val="21"/>
          <w:szCs w:val="21"/>
        </w:rPr>
        <w:t>甲方应根据风险承受能力评估结果选择与自身风险承受能力相匹配的理财产品，不得购买高于自身风险承受能力的理财产品。</w:t>
      </w:r>
      <w:r>
        <w:rPr>
          <w:rFonts w:hint="eastAsia" w:asciiTheme="minorEastAsia" w:hAnsiTheme="minorEastAsia" w:eastAsiaTheme="minorEastAsia"/>
          <w:b/>
          <w:bCs/>
          <w:spacing w:val="-6"/>
          <w:sz w:val="21"/>
          <w:szCs w:val="21"/>
        </w:rPr>
        <w:t>购买理财产品风险等级【</w:t>
      </w:r>
      <w:r>
        <w:rPr>
          <w:rFonts w:asciiTheme="minorEastAsia" w:hAnsiTheme="minorEastAsia" w:eastAsiaTheme="minorEastAsia"/>
          <w:spacing w:val="-6"/>
          <w:sz w:val="21"/>
          <w:szCs w:val="21"/>
        </w:rPr>
        <w:t>R4</w:t>
      </w:r>
      <w:r>
        <w:rPr>
          <w:rFonts w:hint="eastAsia" w:asciiTheme="minorEastAsia" w:hAnsiTheme="minorEastAsia" w:eastAsiaTheme="minorEastAsia"/>
          <w:spacing w:val="-6"/>
          <w:sz w:val="21"/>
          <w:szCs w:val="21"/>
        </w:rPr>
        <w:t>/四级/（</w:t>
      </w:r>
      <w:r>
        <w:rPr>
          <w:rFonts w:asciiTheme="minorEastAsia" w:hAnsiTheme="minorEastAsia" w:eastAsiaTheme="minorEastAsia"/>
          <w:spacing w:val="-6"/>
          <w:sz w:val="21"/>
          <w:szCs w:val="21"/>
        </w:rPr>
        <w:t>中高风险产品</w:t>
      </w:r>
      <w:r>
        <w:rPr>
          <w:rFonts w:hint="eastAsia" w:asciiTheme="minorEastAsia" w:hAnsiTheme="minorEastAsia" w:eastAsiaTheme="minorEastAsia"/>
          <w:spacing w:val="-6"/>
          <w:sz w:val="21"/>
          <w:szCs w:val="21"/>
        </w:rPr>
        <w:t>）</w:t>
      </w:r>
      <w:r>
        <w:rPr>
          <w:rFonts w:hint="eastAsia" w:asciiTheme="minorEastAsia" w:hAnsiTheme="minorEastAsia" w:eastAsiaTheme="minorEastAsia"/>
          <w:b/>
          <w:bCs/>
          <w:spacing w:val="-6"/>
          <w:sz w:val="21"/>
          <w:szCs w:val="21"/>
        </w:rPr>
        <w:t>】及以上的，除非与乙方书面约定，应当在乙方营业网点进行。</w:t>
      </w:r>
    </w:p>
    <w:p>
      <w:pPr>
        <w:snapToGrid w:val="0"/>
        <w:spacing w:line="276" w:lineRule="auto"/>
        <w:ind w:firstLine="422"/>
        <w:rPr>
          <w:rFonts w:asciiTheme="minorEastAsia" w:hAnsiTheme="minorEastAsia" w:eastAsiaTheme="minorEastAsia"/>
          <w:b/>
          <w:bCs/>
          <w:sz w:val="21"/>
          <w:szCs w:val="21"/>
        </w:rPr>
      </w:pPr>
      <w:r>
        <w:rPr>
          <w:rFonts w:asciiTheme="minorEastAsia" w:hAnsiTheme="minorEastAsia" w:eastAsiaTheme="minorEastAsia"/>
          <w:b/>
          <w:bCs/>
          <w:sz w:val="21"/>
          <w:szCs w:val="21"/>
        </w:rPr>
        <w:t>二、甲方声明与承诺</w:t>
      </w:r>
    </w:p>
    <w:p>
      <w:pPr>
        <w:snapToGrid w:val="0"/>
        <w:spacing w:line="276" w:lineRule="auto"/>
        <w:ind w:firstLine="422"/>
        <w:rPr>
          <w:rFonts w:asciiTheme="minorEastAsia" w:hAnsiTheme="minorEastAsia" w:eastAsiaTheme="minorEastAsia"/>
          <w:sz w:val="21"/>
          <w:szCs w:val="21"/>
        </w:rPr>
      </w:pPr>
      <w:r>
        <w:rPr>
          <w:rFonts w:asciiTheme="minorEastAsia" w:hAnsiTheme="minorEastAsia" w:eastAsiaTheme="minorEastAsia"/>
          <w:b/>
          <w:bCs/>
          <w:sz w:val="21"/>
          <w:szCs w:val="21"/>
        </w:rPr>
        <w:t>1.甲方承诺其购买理财产品的资金为合法自有资金，不存在使用贷款、发行债券</w:t>
      </w:r>
      <w:r>
        <w:rPr>
          <w:rFonts w:hint="eastAsia" w:asciiTheme="minorEastAsia" w:hAnsiTheme="minorEastAsia" w:eastAsiaTheme="minorEastAsia"/>
          <w:b/>
          <w:bCs/>
          <w:sz w:val="21"/>
          <w:szCs w:val="21"/>
        </w:rPr>
        <w:t>等</w:t>
      </w:r>
      <w:r>
        <w:rPr>
          <w:rFonts w:asciiTheme="minorEastAsia" w:hAnsiTheme="minorEastAsia" w:eastAsiaTheme="minorEastAsia"/>
          <w:b/>
          <w:bCs/>
          <w:sz w:val="21"/>
          <w:szCs w:val="21"/>
        </w:rPr>
        <w:t>筹集</w:t>
      </w:r>
      <w:r>
        <w:rPr>
          <w:rFonts w:hint="eastAsia" w:asciiTheme="minorEastAsia" w:hAnsiTheme="minorEastAsia" w:eastAsiaTheme="minorEastAsia"/>
          <w:b/>
          <w:bCs/>
          <w:sz w:val="21"/>
          <w:szCs w:val="21"/>
        </w:rPr>
        <w:t>的非自有资金</w:t>
      </w:r>
      <w:r>
        <w:rPr>
          <w:rFonts w:asciiTheme="minorEastAsia" w:hAnsiTheme="minorEastAsia" w:eastAsiaTheme="minorEastAsia"/>
          <w:b/>
          <w:bCs/>
          <w:sz w:val="21"/>
          <w:szCs w:val="21"/>
        </w:rPr>
        <w:t>投资理财产品的情形。甲方承诺投资理财产品使用的资金来源合法合规，并且系为合法之目的投资本理财产品，而非为洗钱等违法犯罪之目的</w:t>
      </w:r>
      <w:r>
        <w:rPr>
          <w:rFonts w:asciiTheme="minorEastAsia" w:hAnsiTheme="minorEastAsia" w:eastAsiaTheme="minorEastAsia"/>
          <w:sz w:val="21"/>
          <w:szCs w:val="21"/>
        </w:rPr>
        <w:t>，甲方将配合乙方开展投资者身份识别及尽职调查等反洗钱、反恐怖融资活动及非居民金融账户涉税信息尽职调查，及时、真实、准确、完整提供身份信息及资金来源等信息。</w:t>
      </w:r>
    </w:p>
    <w:p>
      <w:pPr>
        <w:snapToGrid w:val="0"/>
        <w:spacing w:line="276" w:lineRule="auto"/>
        <w:ind w:firstLine="422"/>
        <w:rPr>
          <w:rFonts w:asciiTheme="minorEastAsia" w:hAnsiTheme="minorEastAsia" w:eastAsiaTheme="minorEastAsia"/>
          <w:sz w:val="21"/>
          <w:szCs w:val="21"/>
        </w:rPr>
      </w:pPr>
      <w:r>
        <w:rPr>
          <w:rFonts w:asciiTheme="minorEastAsia" w:hAnsiTheme="minorEastAsia" w:eastAsiaTheme="minorEastAsia"/>
          <w:b/>
          <w:bCs/>
          <w:sz w:val="21"/>
          <w:szCs w:val="21"/>
        </w:rPr>
        <w:t>2.甲方承诺所提供的所有资料真实、准确、完整、合法、有效，如有变更，甲方应及时到乙方办理变更手续，</w:t>
      </w:r>
      <w:r>
        <w:rPr>
          <w:rFonts w:asciiTheme="minorEastAsia" w:hAnsiTheme="minorEastAsia" w:eastAsiaTheme="minorEastAsia"/>
          <w:sz w:val="21"/>
          <w:szCs w:val="21"/>
        </w:rPr>
        <w:t>若甲方未及时办理相关变更手续，由此导致的一切后果由甲方自行承担，乙方对此不承担任何责任。</w:t>
      </w:r>
    </w:p>
    <w:p>
      <w:pPr>
        <w:snapToGrid w:val="0"/>
        <w:spacing w:line="276" w:lineRule="auto"/>
        <w:ind w:firstLine="422"/>
        <w:rPr>
          <w:rFonts w:asciiTheme="minorEastAsia" w:hAnsiTheme="minorEastAsia" w:eastAsiaTheme="minorEastAsia"/>
          <w:b/>
          <w:bCs/>
          <w:sz w:val="21"/>
          <w:szCs w:val="21"/>
        </w:rPr>
      </w:pPr>
      <w:r>
        <w:rPr>
          <w:rFonts w:asciiTheme="minorEastAsia" w:hAnsiTheme="minorEastAsia" w:eastAsiaTheme="minorEastAsia"/>
          <w:b/>
          <w:bCs/>
          <w:sz w:val="21"/>
          <w:szCs w:val="21"/>
        </w:rPr>
        <w:t>3.甲方已经认真阅读销售文件，清楚知晓其具体内容，对有关条款不存在任何疑问或异议，并能充分理解所购买产品的风险，明白在发生最不利情况下（可能但并不一定发生），甲方可能无法取得产品投资收益，并可能面临损失本金的风险。甲方独立作出投资决定，并亲自对销售文件进行签署确认，自主承担投资风险。</w:t>
      </w:r>
    </w:p>
    <w:p>
      <w:pPr>
        <w:snapToGrid w:val="0"/>
        <w:spacing w:line="276" w:lineRule="auto"/>
        <w:ind w:firstLine="420"/>
        <w:rPr>
          <w:rFonts w:asciiTheme="minorEastAsia" w:hAnsiTheme="minorEastAsia" w:eastAsiaTheme="minorEastAsia"/>
          <w:sz w:val="21"/>
          <w:szCs w:val="21"/>
        </w:rPr>
      </w:pPr>
      <w:r>
        <w:rPr>
          <w:rFonts w:asciiTheme="minorEastAsia" w:hAnsiTheme="minorEastAsia" w:eastAsiaTheme="minorEastAsia"/>
          <w:sz w:val="21"/>
          <w:szCs w:val="21"/>
        </w:rPr>
        <w:t>4.甲方已在乙方营业网点、网上银行、手机银行以及智能终端等渠道完成投资风险承受能力评估，并对投资风险承受能力评估结果完全认可。甲方承诺所购买理财产品对应的风险等级符合自身风险承受能力。</w:t>
      </w:r>
    </w:p>
    <w:p>
      <w:pPr>
        <w:snapToGrid w:val="0"/>
        <w:spacing w:line="276" w:lineRule="auto"/>
        <w:ind w:firstLine="422"/>
        <w:rPr>
          <w:rFonts w:asciiTheme="minorEastAsia" w:hAnsiTheme="minorEastAsia" w:eastAsiaTheme="minorEastAsia"/>
          <w:b/>
          <w:bCs/>
          <w:sz w:val="21"/>
          <w:szCs w:val="21"/>
        </w:rPr>
      </w:pPr>
      <w:r>
        <w:rPr>
          <w:rFonts w:asciiTheme="minorEastAsia" w:hAnsiTheme="minorEastAsia" w:eastAsiaTheme="minorEastAsia"/>
          <w:b/>
          <w:bCs/>
          <w:sz w:val="21"/>
          <w:szCs w:val="21"/>
        </w:rPr>
        <w:t>5.甲方签署本协议，即同意授权乙方在约定期间自甲方理财产品指定账户冻结等额于甲方在本协议项下提交认购或申购的交易金额的资金（冻结期间乙方按甲方理财指定账户活期存款的利息结算规则计付利息），并于约定时间扣划至产品发行</w:t>
      </w:r>
      <w:r>
        <w:rPr>
          <w:rFonts w:hint="eastAsia" w:asciiTheme="minorEastAsia" w:hAnsiTheme="minorEastAsia" w:eastAsiaTheme="minorEastAsia"/>
          <w:b/>
          <w:bCs/>
          <w:sz w:val="21"/>
          <w:szCs w:val="21"/>
        </w:rPr>
        <w:t>与管理</w:t>
      </w:r>
      <w:r>
        <w:rPr>
          <w:rFonts w:asciiTheme="minorEastAsia" w:hAnsiTheme="minorEastAsia" w:eastAsiaTheme="minorEastAsia"/>
          <w:b/>
          <w:bCs/>
          <w:sz w:val="21"/>
          <w:szCs w:val="21"/>
        </w:rPr>
        <w:t>机构指定账户，乙方在划款时均无须再通知甲方。</w:t>
      </w:r>
    </w:p>
    <w:p>
      <w:pPr>
        <w:snapToGrid w:val="0"/>
        <w:spacing w:line="276" w:lineRule="auto"/>
        <w:ind w:firstLine="420"/>
        <w:rPr>
          <w:rFonts w:asciiTheme="minorEastAsia" w:hAnsiTheme="minorEastAsia" w:eastAsiaTheme="minorEastAsia"/>
          <w:sz w:val="21"/>
          <w:szCs w:val="21"/>
        </w:rPr>
      </w:pPr>
      <w:r>
        <w:rPr>
          <w:rFonts w:asciiTheme="minorEastAsia" w:hAnsiTheme="minorEastAsia" w:eastAsiaTheme="minorEastAsia"/>
          <w:sz w:val="21"/>
          <w:szCs w:val="21"/>
        </w:rPr>
        <w:t>6.在产品募集期（或开放期）内，如因甲方的原因导致投资本金不能从其账户足额划转的，甲方对相关理财产品的购买不成功，该理财产品相关法律协议不生效，乙方对此不承担责任。</w:t>
      </w:r>
    </w:p>
    <w:p>
      <w:pPr>
        <w:snapToGrid w:val="0"/>
        <w:spacing w:line="276" w:lineRule="auto"/>
        <w:ind w:firstLine="422"/>
        <w:rPr>
          <w:rFonts w:asciiTheme="minorEastAsia" w:hAnsiTheme="minorEastAsia" w:eastAsiaTheme="minorEastAsia"/>
          <w:b/>
          <w:bCs/>
          <w:sz w:val="21"/>
          <w:szCs w:val="21"/>
        </w:rPr>
      </w:pPr>
      <w:r>
        <w:rPr>
          <w:rFonts w:asciiTheme="minorEastAsia" w:hAnsiTheme="minorEastAsia" w:eastAsiaTheme="minorEastAsia"/>
          <w:b/>
          <w:bCs/>
          <w:sz w:val="21"/>
          <w:szCs w:val="21"/>
        </w:rPr>
        <w:t>7.对于甲方通过乙方营业网点或电子渠道（包括网上银行、手机银行等）购买的理财产品，甲方确认理财产品销售文件均由本人签字签署或亲自在系统中点击确认，并对其真实性和有效性负责，甲方系统点击确认与纸质签署具有同等法律效力。甲方同意乙方可对其办理本合同项下理财业务的操作过程进行录音、录像或以其他合法方式进行记录，且在双方发生争议时可以作为合法有效的证据使用。</w:t>
      </w:r>
    </w:p>
    <w:p>
      <w:pPr>
        <w:snapToGrid w:val="0"/>
        <w:spacing w:line="276" w:lineRule="auto"/>
        <w:ind w:firstLine="420"/>
        <w:rPr>
          <w:rFonts w:asciiTheme="minorEastAsia" w:hAnsiTheme="minorEastAsia" w:eastAsiaTheme="minorEastAsia"/>
          <w:sz w:val="21"/>
          <w:szCs w:val="21"/>
        </w:rPr>
      </w:pPr>
      <w:r>
        <w:rPr>
          <w:rFonts w:asciiTheme="minorEastAsia" w:hAnsiTheme="minorEastAsia" w:eastAsiaTheme="minorEastAsia"/>
          <w:sz w:val="21"/>
          <w:szCs w:val="21"/>
        </w:rPr>
        <w:t>8.甲方承诺在产品存续期内，除非产品发行</w:t>
      </w:r>
      <w:r>
        <w:rPr>
          <w:rFonts w:hint="eastAsia" w:asciiTheme="minorEastAsia" w:hAnsiTheme="minorEastAsia" w:eastAsiaTheme="minorEastAsia"/>
          <w:sz w:val="21"/>
          <w:szCs w:val="21"/>
        </w:rPr>
        <w:t>与管理</w:t>
      </w:r>
      <w:r>
        <w:rPr>
          <w:rFonts w:asciiTheme="minorEastAsia" w:hAnsiTheme="minorEastAsia" w:eastAsiaTheme="minorEastAsia"/>
          <w:sz w:val="21"/>
          <w:szCs w:val="21"/>
        </w:rPr>
        <w:t>机构按照《理财产品说明书》约定行权终止理财产品，否则不得要求乙方在产品非开放日前退还已扣划款项或以任何形式清算其持有的理财产品份额，且不得将指定账户销户。</w:t>
      </w:r>
    </w:p>
    <w:p>
      <w:pPr>
        <w:snapToGrid w:val="0"/>
        <w:spacing w:line="276" w:lineRule="auto"/>
        <w:ind w:firstLine="420"/>
        <w:rPr>
          <w:rFonts w:asciiTheme="minorEastAsia" w:hAnsiTheme="minorEastAsia" w:eastAsiaTheme="minorEastAsia"/>
          <w:sz w:val="21"/>
          <w:szCs w:val="21"/>
        </w:rPr>
      </w:pPr>
      <w:r>
        <w:rPr>
          <w:rFonts w:asciiTheme="minorEastAsia" w:hAnsiTheme="minorEastAsia" w:eastAsiaTheme="minorEastAsia"/>
          <w:sz w:val="21"/>
          <w:szCs w:val="21"/>
        </w:rPr>
        <w:t>9.甲方对本协议及其条款负有保密义务，未经乙方书面许可，甲方不得向任何组织、个人提供或泄露与乙方有关的业务资料及信息，但法律、法规另有规定的除外。</w:t>
      </w:r>
    </w:p>
    <w:p>
      <w:pPr>
        <w:snapToGrid w:val="0"/>
        <w:spacing w:line="276" w:lineRule="auto"/>
        <w:ind w:firstLine="422"/>
        <w:rPr>
          <w:rFonts w:asciiTheme="minorEastAsia" w:hAnsiTheme="minorEastAsia" w:eastAsiaTheme="minorEastAsia"/>
          <w:sz w:val="21"/>
          <w:szCs w:val="21"/>
        </w:rPr>
      </w:pPr>
      <w:r>
        <w:rPr>
          <w:rFonts w:asciiTheme="minorEastAsia" w:hAnsiTheme="minorEastAsia" w:eastAsiaTheme="minorEastAsia"/>
          <w:b/>
          <w:bCs/>
          <w:sz w:val="21"/>
          <w:szCs w:val="21"/>
        </w:rPr>
        <w:t>10.甲方承诺严格遵守反洗钱相关法律法规和监管规定，不会参与或协助洗钱、恐怖融资、逃税活动等违法行为。</w:t>
      </w:r>
      <w:r>
        <w:rPr>
          <w:rFonts w:asciiTheme="minorEastAsia" w:hAnsiTheme="minorEastAsia" w:eastAsiaTheme="minorEastAsia"/>
          <w:sz w:val="21"/>
          <w:szCs w:val="21"/>
        </w:rPr>
        <w:t>乙方若发现或有合理理由怀疑甲方、甲方的资金或甲方的交易行为与洗钱、恐怖融资、逃税等犯罪活动相关的，乙方有权提前终止本协议，造成甲方损失的，乙方不承担责任。</w:t>
      </w:r>
    </w:p>
    <w:p>
      <w:pPr>
        <w:tabs>
          <w:tab w:val="left" w:pos="360"/>
        </w:tabs>
        <w:snapToGrid w:val="0"/>
        <w:spacing w:line="276" w:lineRule="auto"/>
        <w:ind w:firstLine="420"/>
        <w:rPr>
          <w:rFonts w:asciiTheme="minorEastAsia" w:hAnsiTheme="minorEastAsia" w:eastAsiaTheme="minorEastAsia"/>
          <w:b/>
          <w:bCs/>
          <w:sz w:val="21"/>
          <w:szCs w:val="21"/>
        </w:rPr>
      </w:pPr>
      <w:r>
        <w:rPr>
          <w:rFonts w:asciiTheme="minorEastAsia" w:hAnsiTheme="minorEastAsia" w:eastAsiaTheme="minorEastAsia"/>
          <w:sz w:val="21"/>
          <w:szCs w:val="21"/>
        </w:rPr>
        <w:t>三、根据相关法律、法规规定及监管部门要求，乙方在向甲方销售理财产品时，会对产品销售过程以及销售记录进行客观审慎的记录。其中，</w:t>
      </w:r>
      <w:r>
        <w:rPr>
          <w:rFonts w:asciiTheme="minorEastAsia" w:hAnsiTheme="minorEastAsia" w:eastAsiaTheme="minorEastAsia"/>
          <w:b/>
          <w:bCs/>
          <w:sz w:val="21"/>
          <w:szCs w:val="21"/>
        </w:rPr>
        <w:t>甲方授权乙方对营业网点销售行为进行录音、录像采集，并完整客观记录电子渠道上营销推介、产品风险和关键信息提示、确认和反馈等重点销售环节，以用于回溯检查和核查取证用途。</w:t>
      </w:r>
    </w:p>
    <w:p>
      <w:pPr>
        <w:tabs>
          <w:tab w:val="left" w:pos="360"/>
        </w:tabs>
        <w:snapToGrid w:val="0"/>
        <w:spacing w:line="276" w:lineRule="auto"/>
        <w:ind w:firstLine="420"/>
        <w:rPr>
          <w:rFonts w:asciiTheme="minorEastAsia" w:hAnsiTheme="minorEastAsia" w:eastAsiaTheme="minorEastAsia"/>
          <w:sz w:val="21"/>
          <w:szCs w:val="21"/>
        </w:rPr>
      </w:pPr>
      <w:r>
        <w:rPr>
          <w:rFonts w:asciiTheme="minorEastAsia" w:hAnsiTheme="minorEastAsia" w:eastAsiaTheme="minorEastAsia"/>
          <w:sz w:val="21"/>
          <w:szCs w:val="21"/>
        </w:rPr>
        <w:t>四、乙方对理财产品销售过程中获知的投资者金融信息承担保密义务，未经甲方书面许可，乙方不得向任何组织、个人提供或泄露与甲方有关的业务资料及信息，但法律法规或监管规定另有要求的除外。</w:t>
      </w:r>
    </w:p>
    <w:p>
      <w:pPr>
        <w:tabs>
          <w:tab w:val="left" w:pos="360"/>
        </w:tabs>
        <w:snapToGrid w:val="0"/>
        <w:spacing w:line="276" w:lineRule="auto"/>
        <w:ind w:firstLine="420"/>
        <w:rPr>
          <w:rFonts w:hint="eastAsia" w:asciiTheme="minorEastAsia" w:hAnsiTheme="minorEastAsia" w:eastAsiaTheme="minorEastAsia"/>
          <w:sz w:val="21"/>
          <w:szCs w:val="21"/>
        </w:rPr>
      </w:pPr>
      <w:r>
        <w:rPr>
          <w:rFonts w:asciiTheme="minorEastAsia" w:hAnsiTheme="minorEastAsia" w:eastAsiaTheme="minorEastAsia"/>
          <w:sz w:val="21"/>
          <w:szCs w:val="21"/>
        </w:rPr>
        <w:t>五、</w:t>
      </w:r>
      <w:r>
        <w:rPr>
          <w:rFonts w:hint="eastAsia" w:asciiTheme="minorEastAsia" w:hAnsiTheme="minorEastAsia" w:eastAsiaTheme="minorEastAsia"/>
          <w:sz w:val="21"/>
          <w:szCs w:val="21"/>
        </w:rPr>
        <w:t>乙方有权按照反洗钱、反恐怖融资、非居民金融账户涉税信息尽职调查及理财产品登记等相关法律法规和监管要求，收集甲方身份信息、持有理财产品信息、理财账户信息、交易明细信息等相关信息，并按规定向监管机构、理财产品登记机构等有权机关进行登记报送。</w:t>
      </w:r>
    </w:p>
    <w:p>
      <w:pPr>
        <w:tabs>
          <w:tab w:val="left" w:pos="360"/>
        </w:tabs>
        <w:snapToGrid w:val="0"/>
        <w:spacing w:line="276" w:lineRule="auto"/>
        <w:ind w:firstLine="420"/>
        <w:rPr>
          <w:rFonts w:hint="eastAsia" w:asciiTheme="minorEastAsia" w:hAnsiTheme="minorEastAsia" w:eastAsiaTheme="minorEastAsia"/>
          <w:sz w:val="21"/>
          <w:szCs w:val="21"/>
        </w:rPr>
      </w:pPr>
      <w:r>
        <w:rPr>
          <w:rFonts w:hint="eastAsia" w:asciiTheme="minorEastAsia" w:hAnsiTheme="minorEastAsia" w:eastAsiaTheme="minorEastAsia"/>
          <w:sz w:val="21"/>
          <w:szCs w:val="21"/>
        </w:rPr>
        <w:t>在乙方办理本协议项下相关事项所必需的情形下，</w:t>
      </w:r>
      <w:r>
        <w:rPr>
          <w:rFonts w:hint="eastAsia" w:asciiTheme="minorEastAsia" w:hAnsiTheme="minorEastAsia" w:eastAsiaTheme="minorEastAsia"/>
          <w:b/>
          <w:bCs/>
          <w:sz w:val="21"/>
          <w:szCs w:val="21"/>
        </w:rPr>
        <w:t>甲方同意并授权乙方向乙方集团成员、产品发行与管理机构、服务机构及其他乙方认为必要的业务合作机构提供乙方获取的甲方个人信息，范围包括但不限于甲方的身份信息、账户信息、交易信息等个人信息。</w:t>
      </w:r>
      <w:r>
        <w:rPr>
          <w:rFonts w:hint="eastAsia" w:asciiTheme="minorEastAsia" w:hAnsiTheme="minorEastAsia" w:eastAsiaTheme="minorEastAsia"/>
          <w:sz w:val="21"/>
          <w:szCs w:val="21"/>
        </w:rPr>
        <w:t>乙方承诺将向上述第三方明确其保护甲方个人信息的职责并要求其承担相应保密义务，同时要求上述第三方为处理本协议项下事务之目的接触并按照乙方的业务需要以及“最少必须”原则使用甲方个人信息。</w:t>
      </w:r>
    </w:p>
    <w:p>
      <w:pPr>
        <w:tabs>
          <w:tab w:val="left" w:pos="360"/>
        </w:tabs>
        <w:snapToGrid w:val="0"/>
        <w:spacing w:line="276" w:lineRule="auto"/>
        <w:ind w:firstLine="420"/>
        <w:rPr>
          <w:rFonts w:hint="eastAsia" w:asciiTheme="minorEastAsia" w:hAnsiTheme="minorEastAsia" w:eastAsiaTheme="minorEastAsia"/>
          <w:b/>
          <w:bCs/>
          <w:sz w:val="21"/>
          <w:szCs w:val="21"/>
        </w:rPr>
      </w:pPr>
      <w:r>
        <w:rPr>
          <w:rFonts w:hint="eastAsia" w:asciiTheme="minorEastAsia" w:hAnsiTheme="minorEastAsia" w:eastAsiaTheme="minorEastAsia"/>
          <w:sz w:val="21"/>
          <w:szCs w:val="21"/>
        </w:rPr>
        <w:t>乙方对理财产品销售过程中获知的甲方信息承担保密义务，非经甲方事先许可，不得向上述授权范围之外的第三方透露，但法律法规或监管规定另有要求的除外。</w:t>
      </w:r>
      <w:r>
        <w:rPr>
          <w:rFonts w:hint="eastAsia" w:asciiTheme="minorEastAsia" w:hAnsiTheme="minorEastAsia" w:eastAsiaTheme="minorEastAsia"/>
          <w:b/>
          <w:bCs/>
          <w:sz w:val="21"/>
          <w:szCs w:val="21"/>
        </w:rPr>
        <w:t>甲方充分理解并同意上述授权安排，并知悉该同意的结果系为满足法律法规、监管规定或处理本协议项下事务之目的。</w:t>
      </w:r>
    </w:p>
    <w:p>
      <w:pPr>
        <w:snapToGrid w:val="0"/>
        <w:spacing w:line="276" w:lineRule="auto"/>
        <w:ind w:firstLine="420"/>
        <w:rPr>
          <w:rFonts w:asciiTheme="minorEastAsia" w:hAnsiTheme="minorEastAsia" w:eastAsiaTheme="minorEastAsia"/>
          <w:sz w:val="21"/>
          <w:szCs w:val="21"/>
        </w:rPr>
      </w:pPr>
      <w:r>
        <w:rPr>
          <w:rFonts w:asciiTheme="minorEastAsia" w:hAnsiTheme="minorEastAsia" w:eastAsiaTheme="minorEastAsia"/>
          <w:sz w:val="21"/>
          <w:szCs w:val="21"/>
        </w:rPr>
        <w:t>六、本协议与理财产品对应的《理财产品投资协议书》、《理财产品说明书》、《风险揭示书》和《投资者权益须知》构成完整的不可分割的理财产品销售文件，具有同等法律效力。</w:t>
      </w:r>
    </w:p>
    <w:p>
      <w:pPr>
        <w:snapToGrid w:val="0"/>
        <w:spacing w:line="276" w:lineRule="auto"/>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七、甲方购买</w:t>
      </w:r>
      <w:r>
        <w:rPr>
          <w:rFonts w:asciiTheme="minorEastAsia" w:hAnsiTheme="minorEastAsia" w:eastAsiaTheme="minorEastAsia"/>
          <w:spacing w:val="-6"/>
          <w:sz w:val="21"/>
          <w:szCs w:val="21"/>
        </w:rPr>
        <w:t>的理财产品</w:t>
      </w:r>
      <w:r>
        <w:rPr>
          <w:rFonts w:hint="eastAsia" w:asciiTheme="minorEastAsia" w:hAnsiTheme="minorEastAsia" w:eastAsiaTheme="minorEastAsia"/>
          <w:sz w:val="21"/>
          <w:szCs w:val="21"/>
        </w:rPr>
        <w:t>通过乙方</w:t>
      </w:r>
      <w:r>
        <w:rPr>
          <w:rFonts w:asciiTheme="minorEastAsia" w:hAnsiTheme="minorEastAsia" w:eastAsiaTheme="minorEastAsia"/>
          <w:spacing w:val="-6"/>
          <w:sz w:val="21"/>
          <w:szCs w:val="21"/>
        </w:rPr>
        <w:t>代理销售</w:t>
      </w:r>
      <w:r>
        <w:rPr>
          <w:rFonts w:hint="eastAsia" w:asciiTheme="minorEastAsia" w:hAnsiTheme="minorEastAsia" w:eastAsiaTheme="minorEastAsia"/>
          <w:spacing w:val="-6"/>
          <w:sz w:val="21"/>
          <w:szCs w:val="21"/>
        </w:rPr>
        <w:t>的，</w:t>
      </w:r>
      <w:r>
        <w:rPr>
          <w:rFonts w:hint="eastAsia" w:asciiTheme="minorEastAsia" w:hAnsiTheme="minorEastAsia" w:eastAsiaTheme="minorEastAsia"/>
          <w:sz w:val="21"/>
          <w:szCs w:val="21"/>
        </w:rPr>
        <w:t>若乙方与产品管理人对本产品风险评级结果不一致的，乙方应当采用对应较高风险等级的评级结果并予以披露，且</w:t>
      </w:r>
      <w:r>
        <w:rPr>
          <w:rFonts w:hint="eastAsia" w:asciiTheme="minorEastAsia" w:hAnsiTheme="minorEastAsia" w:eastAsiaTheme="minorEastAsia"/>
          <w:spacing w:val="-6"/>
          <w:sz w:val="21"/>
          <w:szCs w:val="21"/>
        </w:rPr>
        <w:t>理财产品评级应当以乙方最终披露的评级结果为准。</w:t>
      </w:r>
    </w:p>
    <w:p>
      <w:pPr>
        <w:snapToGrid w:val="0"/>
        <w:spacing w:line="276" w:lineRule="auto"/>
        <w:ind w:firstLine="422"/>
        <w:rPr>
          <w:rFonts w:asciiTheme="minorEastAsia" w:hAnsiTheme="minorEastAsia" w:eastAsiaTheme="minorEastAsia"/>
          <w:b/>
          <w:bCs/>
          <w:sz w:val="21"/>
          <w:szCs w:val="21"/>
        </w:rPr>
      </w:pPr>
      <w:r>
        <w:rPr>
          <w:rFonts w:hint="eastAsia" w:asciiTheme="minorEastAsia" w:hAnsiTheme="minorEastAsia" w:eastAsiaTheme="minorEastAsia"/>
          <w:b/>
          <w:bCs/>
          <w:sz w:val="21"/>
          <w:szCs w:val="21"/>
        </w:rPr>
        <w:t>八</w:t>
      </w:r>
      <w:r>
        <w:rPr>
          <w:rFonts w:asciiTheme="minorEastAsia" w:hAnsiTheme="minorEastAsia" w:eastAsiaTheme="minorEastAsia"/>
          <w:b/>
          <w:bCs/>
          <w:sz w:val="21"/>
          <w:szCs w:val="21"/>
        </w:rPr>
        <w:t>、免责条款</w:t>
      </w:r>
    </w:p>
    <w:p>
      <w:pPr>
        <w:snapToGrid w:val="0"/>
        <w:spacing w:line="276" w:lineRule="auto"/>
        <w:ind w:firstLine="422"/>
        <w:rPr>
          <w:rFonts w:asciiTheme="minorEastAsia" w:hAnsiTheme="minorEastAsia" w:eastAsiaTheme="minorEastAsia"/>
          <w:b/>
          <w:bCs/>
          <w:sz w:val="21"/>
          <w:szCs w:val="21"/>
        </w:rPr>
      </w:pPr>
      <w:r>
        <w:rPr>
          <w:rFonts w:hint="eastAsia" w:asciiTheme="minorEastAsia" w:hAnsiTheme="minorEastAsia" w:eastAsiaTheme="minorEastAsia"/>
          <w:b/>
          <w:bCs/>
          <w:sz w:val="21"/>
          <w:szCs w:val="21"/>
        </w:rPr>
        <w:t>（一）非乙方原因（包括但不限于甲方未按时足额缴纳本金、甲方遗失本协议、甲方协议被盗用、本协议交易账户被司法机关等有权部门冻结、扣划等原因）造成的损失，乙方不承担责任。</w:t>
      </w:r>
    </w:p>
    <w:p>
      <w:pPr>
        <w:snapToGrid w:val="0"/>
        <w:spacing w:line="276" w:lineRule="auto"/>
        <w:ind w:firstLine="422"/>
        <w:rPr>
          <w:rFonts w:hint="eastAsia" w:asciiTheme="minorEastAsia" w:hAnsiTheme="minorEastAsia" w:eastAsiaTheme="minorEastAsia"/>
          <w:b/>
          <w:sz w:val="21"/>
          <w:szCs w:val="21"/>
        </w:rPr>
      </w:pPr>
      <w:r>
        <w:rPr>
          <w:rFonts w:hint="eastAsia" w:asciiTheme="minorEastAsia" w:hAnsiTheme="minorEastAsia" w:eastAsiaTheme="minorEastAsia"/>
          <w:b/>
          <w:sz w:val="21"/>
          <w:szCs w:val="21"/>
        </w:rPr>
        <w:t>（二）由于不可抗力事件或意外事件的出现，或乙方无过错且无法防止的外因，而导致的交易中断、延误等风险及损失，乙方不承担责任。不可抗力事件包括但不限于：法律法规及监管政策变化、紧急措施的出台，火灾、地震、洪水等自然灾害，战争、军事行动、罢工、流行病等不能预见、不能避免、不能克服的事件等，意外事件包括但不限于：系统故障、通讯故障、电力系统故障、金融危机、投资市场或投资品无法正常交易等。</w:t>
      </w:r>
    </w:p>
    <w:p>
      <w:pPr>
        <w:snapToGrid w:val="0"/>
        <w:spacing w:line="276" w:lineRule="auto"/>
        <w:ind w:firstLine="422"/>
        <w:rPr>
          <w:rFonts w:hint="eastAsia" w:asciiTheme="minorEastAsia" w:hAnsiTheme="minorEastAsia" w:eastAsiaTheme="minorEastAsia"/>
          <w:b/>
          <w:sz w:val="21"/>
          <w:szCs w:val="21"/>
        </w:rPr>
      </w:pPr>
      <w:r>
        <w:rPr>
          <w:rFonts w:hint="eastAsia" w:asciiTheme="minorEastAsia" w:hAnsiTheme="minorEastAsia" w:eastAsiaTheme="minorEastAsia"/>
          <w:b/>
          <w:sz w:val="21"/>
          <w:szCs w:val="21"/>
        </w:rPr>
        <w:t>发生前述情形时，乙方将在条件允许的情况下采取必要合理的补救措施，尽力保护甲方利益，以减少甲方损失。</w:t>
      </w:r>
    </w:p>
    <w:p>
      <w:pPr>
        <w:snapToGrid w:val="0"/>
        <w:spacing w:line="276" w:lineRule="auto"/>
        <w:ind w:firstLine="422"/>
        <w:rPr>
          <w:rFonts w:asciiTheme="minorEastAsia" w:hAnsiTheme="minorEastAsia" w:eastAsiaTheme="minorEastAsia"/>
          <w:b/>
          <w:bCs/>
          <w:sz w:val="21"/>
          <w:szCs w:val="21"/>
        </w:rPr>
      </w:pPr>
      <w:r>
        <w:rPr>
          <w:rFonts w:hint="eastAsia" w:asciiTheme="minorEastAsia" w:hAnsiTheme="minorEastAsia" w:eastAsiaTheme="minorEastAsia"/>
          <w:b/>
          <w:bCs/>
          <w:sz w:val="21"/>
          <w:szCs w:val="21"/>
        </w:rPr>
        <w:t>九</w:t>
      </w:r>
      <w:r>
        <w:rPr>
          <w:rFonts w:asciiTheme="minorEastAsia" w:hAnsiTheme="minorEastAsia" w:eastAsiaTheme="minorEastAsia"/>
          <w:b/>
          <w:bCs/>
          <w:sz w:val="21"/>
          <w:szCs w:val="21"/>
        </w:rPr>
        <w:t>、协议的生效和终止</w:t>
      </w:r>
    </w:p>
    <w:p>
      <w:pPr>
        <w:snapToGrid w:val="0"/>
        <w:spacing w:line="276" w:lineRule="auto"/>
        <w:ind w:firstLine="422"/>
        <w:rPr>
          <w:rFonts w:asciiTheme="minorEastAsia" w:hAnsiTheme="minorEastAsia" w:eastAsiaTheme="minorEastAsia"/>
          <w:sz w:val="21"/>
          <w:szCs w:val="21"/>
        </w:rPr>
      </w:pPr>
      <w:r>
        <w:rPr>
          <w:rFonts w:asciiTheme="minorEastAsia" w:hAnsiTheme="minorEastAsia" w:eastAsiaTheme="minorEastAsia"/>
          <w:b/>
          <w:bCs/>
          <w:sz w:val="21"/>
          <w:szCs w:val="21"/>
        </w:rPr>
        <w:t>1.甲方通过乙方营业网点柜面渠道购买本产品的，本协议经甲方签署后生效。甲方通过乙方的网上银行、手机银行、智能柜台等电子渠道方式购买理财产品的，甲方通过点击同意本协议后生效</w:t>
      </w:r>
      <w:r>
        <w:rPr>
          <w:rFonts w:hint="eastAsia" w:asciiTheme="minorEastAsia" w:hAnsiTheme="minorEastAsia" w:eastAsiaTheme="minorEastAsia"/>
          <w:b/>
          <w:bCs/>
          <w:sz w:val="21"/>
          <w:szCs w:val="21"/>
        </w:rPr>
        <w:t>，双方认可电子数据的有效性</w:t>
      </w:r>
      <w:r>
        <w:rPr>
          <w:rFonts w:asciiTheme="minorEastAsia" w:hAnsiTheme="minorEastAsia" w:eastAsiaTheme="minorEastAsia"/>
          <w:b/>
          <w:bCs/>
          <w:sz w:val="21"/>
          <w:szCs w:val="21"/>
        </w:rPr>
        <w:t>。</w:t>
      </w:r>
    </w:p>
    <w:p>
      <w:pPr>
        <w:snapToGrid w:val="0"/>
        <w:spacing w:line="276" w:lineRule="auto"/>
        <w:ind w:firstLine="422"/>
        <w:rPr>
          <w:rFonts w:asciiTheme="minorEastAsia" w:hAnsiTheme="minorEastAsia" w:eastAsiaTheme="minorEastAsia"/>
          <w:b/>
          <w:bCs/>
          <w:sz w:val="21"/>
          <w:szCs w:val="21"/>
        </w:rPr>
      </w:pPr>
      <w:r>
        <w:rPr>
          <w:rFonts w:asciiTheme="minorEastAsia" w:hAnsiTheme="minorEastAsia" w:eastAsiaTheme="minorEastAsia"/>
          <w:b/>
          <w:bCs/>
          <w:sz w:val="21"/>
          <w:szCs w:val="21"/>
        </w:rPr>
        <w:t>2</w:t>
      </w:r>
      <w:r>
        <w:rPr>
          <w:rFonts w:hint="eastAsia" w:asciiTheme="minorEastAsia" w:hAnsiTheme="minorEastAsia" w:eastAsiaTheme="minorEastAsia"/>
          <w:b/>
          <w:bCs/>
          <w:sz w:val="21"/>
          <w:szCs w:val="21"/>
        </w:rPr>
        <w:t>.</w:t>
      </w:r>
      <w:r>
        <w:rPr>
          <w:rFonts w:asciiTheme="minorEastAsia" w:hAnsiTheme="minorEastAsia" w:eastAsiaTheme="minorEastAsia"/>
          <w:b/>
          <w:bCs/>
          <w:sz w:val="21"/>
          <w:szCs w:val="21"/>
        </w:rPr>
        <w:t>甲方购买理财产品失败，或理财产品到期/提前终止、甲方赎回/提前赎回并完成清算分配后，本协议自动终止。</w:t>
      </w:r>
    </w:p>
    <w:p>
      <w:pPr>
        <w:snapToGrid w:val="0"/>
        <w:spacing w:line="276" w:lineRule="auto"/>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3.甲方通过乙方提交的有效理财产品认购/申购/赎回/撤单等申请，并不意味着理财产品认购/申购/赎回/撤单等申请一定成功，具体认购/申购/赎回/撤单等申请的受理结果以产</w:t>
      </w:r>
      <w:r>
        <w:rPr>
          <w:rFonts w:asciiTheme="minorEastAsia" w:hAnsiTheme="minorEastAsia" w:eastAsiaTheme="minorEastAsia"/>
          <w:spacing w:val="-6"/>
          <w:sz w:val="21"/>
          <w:szCs w:val="21"/>
        </w:rPr>
        <w:t>品发行</w:t>
      </w:r>
      <w:r>
        <w:rPr>
          <w:rFonts w:hint="eastAsia" w:asciiTheme="minorEastAsia" w:hAnsiTheme="minorEastAsia" w:eastAsiaTheme="minorEastAsia"/>
          <w:spacing w:val="-6"/>
          <w:sz w:val="21"/>
          <w:szCs w:val="21"/>
        </w:rPr>
        <w:t>与管理</w:t>
      </w:r>
      <w:r>
        <w:rPr>
          <w:rFonts w:asciiTheme="minorEastAsia" w:hAnsiTheme="minorEastAsia" w:eastAsiaTheme="minorEastAsia"/>
          <w:spacing w:val="-6"/>
          <w:sz w:val="21"/>
          <w:szCs w:val="21"/>
        </w:rPr>
        <w:t>机构</w:t>
      </w:r>
      <w:r>
        <w:rPr>
          <w:rFonts w:hint="eastAsia" w:asciiTheme="minorEastAsia" w:hAnsiTheme="minorEastAsia" w:eastAsiaTheme="minorEastAsia"/>
          <w:sz w:val="21"/>
          <w:szCs w:val="21"/>
        </w:rPr>
        <w:t>的确认为准。</w:t>
      </w:r>
    </w:p>
    <w:p>
      <w:pPr>
        <w:snapToGrid w:val="0"/>
        <w:spacing w:line="276" w:lineRule="auto"/>
        <w:ind w:firstLine="422"/>
        <w:rPr>
          <w:rFonts w:asciiTheme="minorEastAsia" w:hAnsiTheme="minorEastAsia" w:eastAsiaTheme="minorEastAsia"/>
          <w:b/>
          <w:bCs/>
          <w:sz w:val="21"/>
          <w:szCs w:val="21"/>
        </w:rPr>
      </w:pPr>
      <w:r>
        <w:rPr>
          <w:rFonts w:hint="eastAsia" w:asciiTheme="minorEastAsia" w:hAnsiTheme="minorEastAsia" w:eastAsiaTheme="minorEastAsia"/>
          <w:b/>
          <w:bCs/>
          <w:sz w:val="21"/>
          <w:szCs w:val="21"/>
        </w:rPr>
        <w:t>4.</w:t>
      </w:r>
      <w:r>
        <w:rPr>
          <w:rFonts w:asciiTheme="minorEastAsia" w:hAnsiTheme="minorEastAsia" w:eastAsiaTheme="minorEastAsia"/>
          <w:b/>
          <w:bCs/>
          <w:sz w:val="21"/>
          <w:szCs w:val="21"/>
        </w:rPr>
        <w:t>本协议及《理财产品说明书》项下各方权利义务履行完毕之日，本协议自动终止。</w:t>
      </w:r>
    </w:p>
    <w:p>
      <w:pPr>
        <w:snapToGrid w:val="0"/>
        <w:spacing w:line="276" w:lineRule="auto"/>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5.</w:t>
      </w:r>
      <w:r>
        <w:rPr>
          <w:rFonts w:asciiTheme="minorEastAsia" w:hAnsiTheme="minorEastAsia" w:eastAsiaTheme="minorEastAsia"/>
          <w:sz w:val="21"/>
          <w:szCs w:val="21"/>
        </w:rPr>
        <w:t>本协议一式贰份，甲乙双方各执壹份，具有同等法律效力。</w:t>
      </w:r>
    </w:p>
    <w:p>
      <w:pPr>
        <w:spacing w:line="276" w:lineRule="auto"/>
        <w:ind w:right="840" w:firstLine="422"/>
        <w:rPr>
          <w:rFonts w:asciiTheme="minorEastAsia" w:hAnsiTheme="minorEastAsia" w:eastAsiaTheme="minorEastAsia"/>
          <w:b/>
          <w:bCs/>
          <w:sz w:val="21"/>
          <w:szCs w:val="21"/>
        </w:rPr>
      </w:pPr>
      <w:r>
        <w:rPr>
          <w:rFonts w:hint="eastAsia" w:asciiTheme="minorEastAsia" w:hAnsiTheme="minorEastAsia" w:eastAsiaTheme="minorEastAsia"/>
          <w:b/>
          <w:bCs/>
          <w:sz w:val="21"/>
          <w:szCs w:val="21"/>
        </w:rPr>
        <w:t>十</w:t>
      </w:r>
      <w:r>
        <w:rPr>
          <w:rFonts w:asciiTheme="minorEastAsia" w:hAnsiTheme="minorEastAsia" w:eastAsiaTheme="minorEastAsia"/>
          <w:b/>
          <w:bCs/>
          <w:sz w:val="21"/>
          <w:szCs w:val="21"/>
        </w:rPr>
        <w:t>、法律适用与争论解决</w:t>
      </w:r>
    </w:p>
    <w:p>
      <w:pPr>
        <w:snapToGrid w:val="0"/>
        <w:spacing w:line="276" w:lineRule="auto"/>
        <w:ind w:firstLine="420"/>
        <w:rPr>
          <w:rFonts w:asciiTheme="minorEastAsia" w:hAnsiTheme="minorEastAsia" w:eastAsiaTheme="minorEastAsia"/>
          <w:sz w:val="21"/>
          <w:szCs w:val="21"/>
        </w:rPr>
      </w:pPr>
      <w:r>
        <w:rPr>
          <w:rFonts w:asciiTheme="minorEastAsia" w:hAnsiTheme="minorEastAsia" w:eastAsiaTheme="minorEastAsia"/>
          <w:sz w:val="21"/>
          <w:szCs w:val="21"/>
        </w:rPr>
        <w:t>1.如果甲方与乙方就本产品存在多份代理销售协议，则每份协议之间相互独立、互不影响，每份协议的效力及履行情况均独立于其他协议。</w:t>
      </w:r>
    </w:p>
    <w:p>
      <w:pPr>
        <w:snapToGrid w:val="0"/>
        <w:spacing w:line="276" w:lineRule="auto"/>
        <w:ind w:firstLine="420"/>
        <w:rPr>
          <w:rFonts w:asciiTheme="minorEastAsia" w:hAnsiTheme="minorEastAsia" w:eastAsiaTheme="minorEastAsia"/>
          <w:sz w:val="21"/>
          <w:szCs w:val="21"/>
        </w:rPr>
      </w:pPr>
      <w:r>
        <w:rPr>
          <w:rFonts w:asciiTheme="minorEastAsia" w:hAnsiTheme="minorEastAsia" w:eastAsiaTheme="minorEastAsia"/>
          <w:sz w:val="21"/>
          <w:szCs w:val="21"/>
        </w:rPr>
        <w:t>2.如果由于任何原因使本协议下的部分条款无效，本协议其他条款效力不受影响。</w:t>
      </w:r>
    </w:p>
    <w:p>
      <w:pPr>
        <w:snapToGrid w:val="0"/>
        <w:spacing w:line="276" w:lineRule="auto"/>
        <w:ind w:firstLine="422"/>
        <w:rPr>
          <w:rFonts w:asciiTheme="minorEastAsia" w:hAnsiTheme="minorEastAsia" w:eastAsiaTheme="minorEastAsia"/>
          <w:b/>
          <w:bCs/>
          <w:sz w:val="21"/>
          <w:szCs w:val="21"/>
        </w:rPr>
      </w:pPr>
      <w:r>
        <w:rPr>
          <w:rFonts w:asciiTheme="minorEastAsia" w:hAnsiTheme="minorEastAsia" w:eastAsiaTheme="minorEastAsia"/>
          <w:b/>
          <w:bCs/>
          <w:sz w:val="21"/>
          <w:szCs w:val="21"/>
        </w:rPr>
        <w:t>3.本协议适用中华人民共和国大陆地区法律。本协议项下及与之有关的一切争议，双方应先协商解决，协商不成的，应向乙方住所地有管辖权的人民法院提起诉讼。</w:t>
      </w:r>
    </w:p>
    <w:p>
      <w:pPr>
        <w:snapToGrid w:val="0"/>
        <w:spacing w:line="276" w:lineRule="auto"/>
        <w:ind w:firstLine="422"/>
        <w:rPr>
          <w:rFonts w:asciiTheme="minorEastAsia" w:hAnsiTheme="minorEastAsia" w:eastAsiaTheme="minorEastAsia"/>
          <w:b/>
          <w:bCs/>
          <w:sz w:val="21"/>
          <w:szCs w:val="21"/>
        </w:rPr>
      </w:pPr>
      <w:r>
        <w:rPr>
          <w:rFonts w:asciiTheme="minorEastAsia" w:hAnsiTheme="minorEastAsia" w:eastAsiaTheme="minorEastAsia"/>
          <w:b/>
          <w:bCs/>
          <w:sz w:val="21"/>
          <w:szCs w:val="21"/>
        </w:rPr>
        <w:t>十</w:t>
      </w:r>
      <w:r>
        <w:rPr>
          <w:rFonts w:hint="eastAsia" w:asciiTheme="minorEastAsia" w:hAnsiTheme="minorEastAsia" w:eastAsiaTheme="minorEastAsia"/>
          <w:b/>
          <w:bCs/>
          <w:sz w:val="21"/>
          <w:szCs w:val="21"/>
        </w:rPr>
        <w:t>一</w:t>
      </w:r>
      <w:r>
        <w:rPr>
          <w:rFonts w:asciiTheme="minorEastAsia" w:hAnsiTheme="minorEastAsia" w:eastAsiaTheme="minorEastAsia"/>
          <w:b/>
          <w:bCs/>
          <w:sz w:val="21"/>
          <w:szCs w:val="21"/>
        </w:rPr>
        <w:t>、咨询、投诉与建议</w:t>
      </w:r>
    </w:p>
    <w:p>
      <w:pPr>
        <w:snapToGrid w:val="0"/>
        <w:spacing w:line="276" w:lineRule="auto"/>
        <w:ind w:firstLine="420"/>
        <w:rPr>
          <w:rFonts w:asciiTheme="minorEastAsia" w:hAnsiTheme="minorEastAsia" w:eastAsiaTheme="minorEastAsia"/>
          <w:sz w:val="21"/>
          <w:szCs w:val="21"/>
        </w:rPr>
      </w:pPr>
      <w:r>
        <w:rPr>
          <w:rFonts w:asciiTheme="minorEastAsia" w:hAnsiTheme="minorEastAsia" w:eastAsiaTheme="minorEastAsia"/>
          <w:sz w:val="21"/>
          <w:szCs w:val="21"/>
        </w:rPr>
        <w:t>甲方对乙方理财产品销售方面有任何疑问、投诉或意见建议，可通过以下途径反映：</w:t>
      </w:r>
    </w:p>
    <w:p>
      <w:pPr>
        <w:snapToGrid w:val="0"/>
        <w:spacing w:line="276" w:lineRule="auto"/>
        <w:ind w:firstLine="420"/>
        <w:rPr>
          <w:rFonts w:asciiTheme="minorEastAsia" w:hAnsiTheme="minorEastAsia" w:eastAsiaTheme="minorEastAsia"/>
          <w:sz w:val="21"/>
          <w:szCs w:val="21"/>
        </w:rPr>
      </w:pPr>
      <w:r>
        <w:rPr>
          <w:rFonts w:asciiTheme="minorEastAsia" w:hAnsiTheme="minorEastAsia" w:eastAsiaTheme="minorEastAsia"/>
          <w:sz w:val="21"/>
          <w:szCs w:val="21"/>
        </w:rPr>
        <w:t>1.乙方销售理财产品的营业网点工作人员；</w:t>
      </w:r>
    </w:p>
    <w:p>
      <w:pPr>
        <w:snapToGrid w:val="0"/>
        <w:spacing w:line="276" w:lineRule="auto"/>
        <w:ind w:firstLine="420"/>
        <w:rPr>
          <w:rFonts w:asciiTheme="minorEastAsia" w:hAnsiTheme="minorEastAsia" w:eastAsiaTheme="minorEastAsia"/>
          <w:sz w:val="21"/>
          <w:szCs w:val="21"/>
        </w:rPr>
      </w:pPr>
      <w:r>
        <w:rPr>
          <w:rFonts w:asciiTheme="minorEastAsia" w:hAnsiTheme="minorEastAsia" w:eastAsiaTheme="minorEastAsia"/>
          <w:sz w:val="21"/>
          <w:szCs w:val="21"/>
        </w:rPr>
        <w:t>2.乙方客户服务电话</w:t>
      </w:r>
      <w:r>
        <w:rPr>
          <w:rFonts w:hint="eastAsia" w:asciiTheme="minorEastAsia" w:hAnsiTheme="minorEastAsia" w:eastAsiaTheme="minorEastAsia"/>
          <w:sz w:val="21"/>
          <w:szCs w:val="21"/>
        </w:rPr>
        <w:t>：</w:t>
      </w:r>
      <w:r>
        <w:rPr>
          <w:rFonts w:hint="eastAsia" w:asciiTheme="minorEastAsia" w:hAnsiTheme="minorEastAsia" w:eastAsiaTheme="minorEastAsia"/>
          <w:bCs/>
          <w:sz w:val="21"/>
          <w:szCs w:val="21"/>
        </w:rPr>
        <w:t>027-96599</w:t>
      </w:r>
      <w:r>
        <w:rPr>
          <w:rFonts w:asciiTheme="minorEastAsia" w:hAnsiTheme="minorEastAsia" w:eastAsiaTheme="minorEastAsia"/>
          <w:sz w:val="21"/>
          <w:szCs w:val="21"/>
        </w:rPr>
        <w:t>；</w:t>
      </w:r>
    </w:p>
    <w:p>
      <w:pPr>
        <w:snapToGrid w:val="0"/>
        <w:spacing w:line="276" w:lineRule="auto"/>
        <w:ind w:firstLine="420"/>
        <w:rPr>
          <w:rFonts w:asciiTheme="minorEastAsia" w:hAnsiTheme="minorEastAsia" w:eastAsiaTheme="minorEastAsia"/>
          <w:sz w:val="21"/>
          <w:szCs w:val="21"/>
        </w:rPr>
      </w:pPr>
      <w:r>
        <w:rPr>
          <w:rFonts w:hint="eastAsia" w:asciiTheme="minorEastAsia" w:hAnsiTheme="minorEastAsia" w:eastAsiaTheme="minorEastAsia"/>
          <w:sz w:val="21"/>
          <w:szCs w:val="21"/>
        </w:rPr>
        <w:t>3</w:t>
      </w:r>
      <w:r>
        <w:rPr>
          <w:rFonts w:asciiTheme="minorEastAsia" w:hAnsiTheme="minorEastAsia" w:eastAsiaTheme="minorEastAsia"/>
          <w:sz w:val="21"/>
          <w:szCs w:val="21"/>
        </w:rPr>
        <w:t>.如甲方有对理财产品发行与管理相关的投诉与建议，可通过乙方客户服务电话进行反映，乙方客户服务热线仅为受理渠道，最终以产品发行</w:t>
      </w:r>
      <w:r>
        <w:rPr>
          <w:rFonts w:hint="eastAsia" w:asciiTheme="minorEastAsia" w:hAnsiTheme="minorEastAsia" w:eastAsiaTheme="minorEastAsia"/>
          <w:sz w:val="21"/>
          <w:szCs w:val="21"/>
        </w:rPr>
        <w:t>与管理</w:t>
      </w:r>
      <w:r>
        <w:rPr>
          <w:rFonts w:asciiTheme="minorEastAsia" w:hAnsiTheme="minorEastAsia" w:eastAsiaTheme="minorEastAsia"/>
          <w:sz w:val="21"/>
          <w:szCs w:val="21"/>
        </w:rPr>
        <w:t>机构处理结果或回复意见为准。</w:t>
      </w:r>
    </w:p>
    <w:p>
      <w:pPr>
        <w:snapToGrid w:val="0"/>
        <w:spacing w:line="276" w:lineRule="auto"/>
        <w:ind w:firstLine="420"/>
        <w:rPr>
          <w:rFonts w:asciiTheme="minorEastAsia" w:hAnsiTheme="minorEastAsia" w:eastAsiaTheme="minorEastAsia"/>
          <w:sz w:val="21"/>
          <w:szCs w:val="21"/>
        </w:rPr>
      </w:pPr>
    </w:p>
    <w:p>
      <w:pPr>
        <w:spacing w:line="276" w:lineRule="auto"/>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甲方:                                            乙方：</w:t>
      </w:r>
      <w:r>
        <w:rPr>
          <w:rFonts w:hint="eastAsia" w:asciiTheme="minorEastAsia" w:hAnsiTheme="minorEastAsia" w:eastAsiaTheme="minorEastAsia"/>
          <w:sz w:val="21"/>
          <w:szCs w:val="21"/>
        </w:rPr>
        <w:t>湖北银行股份有限公司</w:t>
      </w:r>
    </w:p>
    <w:p>
      <w:pPr>
        <w:spacing w:line="276" w:lineRule="auto"/>
        <w:ind w:left="7440" w:firstLine="420"/>
        <w:rPr>
          <w:rFonts w:asciiTheme="minorEastAsia" w:hAnsiTheme="minorEastAsia" w:eastAsiaTheme="minorEastAsia"/>
          <w:sz w:val="21"/>
          <w:szCs w:val="21"/>
        </w:rPr>
      </w:pPr>
    </w:p>
    <w:p>
      <w:pPr>
        <w:spacing w:line="276" w:lineRule="auto"/>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 xml:space="preserve">个人投资者签字：                              </w:t>
      </w:r>
    </w:p>
    <w:p>
      <w:pPr>
        <w:spacing w:line="276" w:lineRule="auto"/>
        <w:ind w:firstLine="0" w:firstLineChars="0"/>
        <w:rPr>
          <w:rFonts w:asciiTheme="minorEastAsia" w:hAnsiTheme="minorEastAsia" w:eastAsiaTheme="minorEastAsia"/>
          <w:sz w:val="21"/>
          <w:szCs w:val="21"/>
        </w:rPr>
      </w:pPr>
    </w:p>
    <w:p>
      <w:pPr>
        <w:spacing w:line="276" w:lineRule="auto"/>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 xml:space="preserve">机构投资者（盖章）：                           </w:t>
      </w:r>
    </w:p>
    <w:p>
      <w:pPr>
        <w:spacing w:line="276" w:lineRule="auto"/>
        <w:ind w:firstLine="0" w:firstLineChars="0"/>
        <w:rPr>
          <w:rFonts w:asciiTheme="minorEastAsia" w:hAnsiTheme="minorEastAsia" w:eastAsiaTheme="minorEastAsia"/>
          <w:sz w:val="21"/>
          <w:szCs w:val="21"/>
        </w:rPr>
      </w:pPr>
    </w:p>
    <w:p>
      <w:pPr>
        <w:spacing w:line="276" w:lineRule="auto"/>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机构投资者法定代表人或授权代表（签字或盖章）:</w:t>
      </w:r>
    </w:p>
    <w:p>
      <w:pPr>
        <w:spacing w:line="276" w:lineRule="auto"/>
        <w:ind w:firstLine="0" w:firstLineChars="0"/>
        <w:rPr>
          <w:rFonts w:asciiTheme="minorEastAsia" w:hAnsiTheme="minorEastAsia" w:eastAsiaTheme="minorEastAsia"/>
          <w:sz w:val="21"/>
          <w:szCs w:val="21"/>
        </w:rPr>
      </w:pPr>
    </w:p>
    <w:p>
      <w:pPr>
        <w:spacing w:line="276" w:lineRule="auto"/>
        <w:ind w:firstLine="0" w:firstLineChars="0"/>
        <w:rPr>
          <w:rFonts w:asciiTheme="minorEastAsia" w:hAnsiTheme="minorEastAsia" w:eastAsiaTheme="minorEastAsia"/>
          <w:sz w:val="21"/>
          <w:szCs w:val="21"/>
        </w:rPr>
      </w:pPr>
      <w:r>
        <w:rPr>
          <w:rFonts w:asciiTheme="minorEastAsia" w:hAnsiTheme="minorEastAsia" w:eastAsiaTheme="minorEastAsia"/>
          <w:sz w:val="21"/>
          <w:szCs w:val="21"/>
        </w:rPr>
        <w:t>签约时间：   年   月   日                        签约时间：  年   月   日</w:t>
      </w:r>
    </w:p>
    <w:p>
      <w:pPr>
        <w:spacing w:line="276" w:lineRule="auto"/>
        <w:ind w:firstLine="0" w:firstLineChars="0"/>
        <w:rPr>
          <w:rFonts w:asciiTheme="minorEastAsia" w:hAnsiTheme="minorEastAsia" w:eastAsiaTheme="minorEastAsia"/>
          <w:sz w:val="21"/>
          <w:szCs w:val="21"/>
        </w:rPr>
      </w:pPr>
    </w:p>
    <w:p>
      <w:pPr>
        <w:spacing w:line="276" w:lineRule="auto"/>
        <w:ind w:firstLine="0" w:firstLineChars="0"/>
        <w:rPr>
          <w:rFonts w:asciiTheme="minorEastAsia" w:hAnsiTheme="minorEastAsia" w:eastAsiaTheme="minorEastAsia"/>
          <w:sz w:val="21"/>
          <w:szCs w:val="21"/>
        </w:rPr>
      </w:pPr>
    </w:p>
    <w:p>
      <w:pPr>
        <w:snapToGrid w:val="0"/>
        <w:spacing w:line="276" w:lineRule="auto"/>
        <w:ind w:firstLine="480"/>
        <w:rPr>
          <w:rFonts w:ascii="Times New Roman"/>
          <w:szCs w:val="21"/>
        </w:rPr>
      </w:pPr>
    </w:p>
    <w:p>
      <w:pPr>
        <w:snapToGrid w:val="0"/>
        <w:spacing w:line="276" w:lineRule="auto"/>
        <w:ind w:firstLine="480"/>
        <w:rPr>
          <w:rFonts w:ascii="Times New Roman"/>
          <w:szCs w:val="21"/>
        </w:rPr>
      </w:pPr>
    </w:p>
    <w:p>
      <w:pPr>
        <w:snapToGrid w:val="0"/>
        <w:spacing w:line="276" w:lineRule="auto"/>
        <w:ind w:firstLine="480"/>
        <w:rPr>
          <w:rFonts w:ascii="Times New Roman"/>
          <w:szCs w:val="21"/>
        </w:rPr>
      </w:pPr>
    </w:p>
    <w:p>
      <w:pPr>
        <w:snapToGrid w:val="0"/>
        <w:spacing w:line="276" w:lineRule="auto"/>
        <w:ind w:firstLine="480"/>
        <w:rPr>
          <w:rFonts w:ascii="Times New Roman"/>
          <w:szCs w:val="21"/>
        </w:rPr>
      </w:pPr>
    </w:p>
    <w:p>
      <w:pPr>
        <w:widowControl/>
        <w:autoSpaceDE/>
        <w:autoSpaceDN/>
        <w:adjustRightInd/>
        <w:ind w:firstLine="0" w:firstLineChars="0"/>
        <w:rPr>
          <w:rFonts w:ascii="Times New Roman"/>
          <w:szCs w:val="21"/>
        </w:rPr>
      </w:pPr>
      <w:r>
        <w:rPr>
          <w:rFonts w:ascii="Times New Roman"/>
          <w:szCs w:val="21"/>
        </w:rPr>
        <w:br w:type="page"/>
      </w:r>
    </w:p>
    <w:p>
      <w:pPr>
        <w:spacing w:line="276" w:lineRule="auto"/>
        <w:ind w:firstLine="0" w:firstLineChars="0"/>
        <w:jc w:val="center"/>
        <w:rPr>
          <w:rFonts w:ascii="Times New Roman" w:eastAsiaTheme="minorEastAsia"/>
          <w:b/>
          <w:sz w:val="30"/>
          <w:szCs w:val="30"/>
        </w:rPr>
      </w:pPr>
      <w:r>
        <w:rPr>
          <w:rFonts w:hint="eastAsia" w:ascii="Times New Roman" w:eastAsiaTheme="minorEastAsia"/>
          <w:b/>
          <w:sz w:val="30"/>
          <w:szCs w:val="30"/>
        </w:rPr>
        <w:t>渝农商理财有限责任公司</w:t>
      </w:r>
    </w:p>
    <w:p>
      <w:pPr>
        <w:spacing w:line="276" w:lineRule="auto"/>
        <w:ind w:firstLine="0" w:firstLineChars="0"/>
        <w:jc w:val="center"/>
        <w:rPr>
          <w:rFonts w:ascii="Times New Roman" w:eastAsiaTheme="minorEastAsia"/>
          <w:b/>
          <w:sz w:val="30"/>
          <w:szCs w:val="30"/>
        </w:rPr>
      </w:pPr>
      <w:r>
        <w:rPr>
          <w:rFonts w:hint="eastAsia" w:ascii="Times New Roman" w:eastAsiaTheme="minorEastAsia"/>
          <w:b/>
          <w:sz w:val="30"/>
          <w:szCs w:val="30"/>
        </w:rPr>
        <w:t>理财产品投资者权益须知</w:t>
      </w:r>
    </w:p>
    <w:p>
      <w:pPr>
        <w:spacing w:line="276" w:lineRule="auto"/>
        <w:ind w:firstLine="480"/>
        <w:rPr>
          <w:rFonts w:ascii="Times New Roman" w:eastAsiaTheme="minorEastAsia"/>
          <w:szCs w:val="21"/>
        </w:rPr>
      </w:pPr>
    </w:p>
    <w:p>
      <w:pPr>
        <w:spacing w:line="276" w:lineRule="auto"/>
        <w:ind w:firstLine="0" w:firstLineChars="0"/>
        <w:rPr>
          <w:rFonts w:asciiTheme="minorEastAsia" w:hAnsiTheme="minorEastAsia" w:eastAsiaTheme="minorEastAsia"/>
          <w:sz w:val="21"/>
          <w:szCs w:val="21"/>
        </w:rPr>
      </w:pPr>
      <w:r>
        <w:rPr>
          <w:rFonts w:hint="eastAsia" w:asciiTheme="minorEastAsia" w:hAnsiTheme="minorEastAsia" w:eastAsiaTheme="minorEastAsia"/>
          <w:sz w:val="21"/>
          <w:szCs w:val="21"/>
        </w:rPr>
        <w:t>尊敬的投资者：</w:t>
      </w:r>
    </w:p>
    <w:p>
      <w:pPr>
        <w:spacing w:line="276" w:lineRule="auto"/>
        <w:ind w:firstLine="422"/>
        <w:rPr>
          <w:rFonts w:asciiTheme="minorEastAsia" w:hAnsiTheme="minorEastAsia" w:eastAsiaTheme="minorEastAsia"/>
          <w:b/>
          <w:bCs/>
          <w:sz w:val="21"/>
          <w:szCs w:val="21"/>
        </w:rPr>
      </w:pPr>
      <w:r>
        <w:rPr>
          <w:rFonts w:hint="eastAsia" w:asciiTheme="minorEastAsia" w:hAnsiTheme="minorEastAsia" w:eastAsiaTheme="minorEastAsia"/>
          <w:b/>
          <w:bCs/>
          <w:sz w:val="21"/>
          <w:szCs w:val="21"/>
        </w:rPr>
        <w:t>理财非存款，产品有风险，投资须谨慎。</w:t>
      </w:r>
    </w:p>
    <w:p>
      <w:pPr>
        <w:spacing w:line="276" w:lineRule="auto"/>
        <w:ind w:right="-159" w:firstLine="420"/>
        <w:rPr>
          <w:rFonts w:asciiTheme="minorEastAsia" w:hAnsiTheme="minorEastAsia" w:eastAsiaTheme="minorEastAsia"/>
          <w:bCs/>
          <w:sz w:val="21"/>
          <w:szCs w:val="21"/>
        </w:rPr>
      </w:pPr>
      <w:r>
        <w:rPr>
          <w:rFonts w:hint="eastAsia" w:asciiTheme="minorEastAsia" w:hAnsiTheme="minorEastAsia" w:eastAsiaTheme="minorEastAsia"/>
          <w:bCs/>
          <w:sz w:val="21"/>
          <w:szCs w:val="21"/>
        </w:rPr>
        <w:t>感谢您购买渝农商理财有限责任公司（以下简称“本公司”或“产品管理人”）的理财产品，请仔细阅读本《投资者权益须知》，行使您在本业务项下的权益。</w:t>
      </w:r>
    </w:p>
    <w:p>
      <w:pPr>
        <w:spacing w:line="276" w:lineRule="auto"/>
        <w:ind w:right="-159" w:firstLine="420"/>
        <w:rPr>
          <w:rFonts w:asciiTheme="minorEastAsia" w:hAnsiTheme="minorEastAsia" w:eastAsiaTheme="minorEastAsia"/>
          <w:bCs/>
          <w:sz w:val="21"/>
          <w:szCs w:val="21"/>
        </w:rPr>
      </w:pPr>
      <w:r>
        <w:rPr>
          <w:rFonts w:hint="eastAsia" w:asciiTheme="minorEastAsia" w:hAnsiTheme="minorEastAsia" w:eastAsiaTheme="minorEastAsia"/>
          <w:bCs/>
          <w:sz w:val="21"/>
          <w:szCs w:val="21"/>
        </w:rPr>
        <w:t>一、您投资的理财产品由渝农商理财有限责任公司发行与管理，湖北银行股份有限公司</w:t>
      </w:r>
      <w:r>
        <w:rPr>
          <w:rFonts w:hint="eastAsia" w:asciiTheme="minorEastAsia" w:hAnsiTheme="minorEastAsia" w:eastAsiaTheme="minorEastAsia"/>
          <w:sz w:val="21"/>
          <w:szCs w:val="21"/>
        </w:rPr>
        <w:t>仅为理财产品的代理销售机构，</w:t>
      </w:r>
      <w:r>
        <w:rPr>
          <w:rFonts w:hint="eastAsia" w:asciiTheme="minorEastAsia" w:hAnsiTheme="minorEastAsia" w:eastAsiaTheme="minorEastAsia"/>
          <w:bCs/>
          <w:sz w:val="21"/>
          <w:szCs w:val="21"/>
        </w:rPr>
        <w:t>非理财产品的发行机构与管理机构。</w:t>
      </w:r>
      <w:r>
        <w:rPr>
          <w:rFonts w:hint="eastAsia" w:asciiTheme="minorEastAsia" w:hAnsiTheme="minorEastAsia" w:eastAsiaTheme="minorEastAsia"/>
          <w:b/>
          <w:sz w:val="21"/>
          <w:szCs w:val="21"/>
        </w:rPr>
        <w:t>为保障您的合法权益，请您在进行投资时，警惕任何人与机构假借本公司理财产品之名推介、推销其他类型金融产品。</w:t>
      </w:r>
    </w:p>
    <w:p>
      <w:pPr>
        <w:spacing w:line="276" w:lineRule="auto"/>
        <w:ind w:right="-159" w:firstLine="420"/>
        <w:rPr>
          <w:rFonts w:asciiTheme="minorEastAsia" w:hAnsiTheme="minorEastAsia" w:eastAsiaTheme="minorEastAsia"/>
          <w:bCs/>
          <w:sz w:val="21"/>
          <w:szCs w:val="21"/>
        </w:rPr>
      </w:pPr>
      <w:r>
        <w:rPr>
          <w:rFonts w:hint="eastAsia" w:asciiTheme="minorEastAsia" w:hAnsiTheme="minorEastAsia" w:eastAsiaTheme="minorEastAsia"/>
          <w:bCs/>
          <w:sz w:val="21"/>
          <w:szCs w:val="21"/>
        </w:rPr>
        <w:t>您投资的理财产品可能产生风险，在发生最不利情况下（可能但并不一定发生），您可能无法取得收益，并可能面临损失本金的风险，</w:t>
      </w:r>
      <w:r>
        <w:rPr>
          <w:rFonts w:hint="eastAsia" w:asciiTheme="minorEastAsia" w:hAnsiTheme="minorEastAsia" w:eastAsiaTheme="minorEastAsia"/>
          <w:b/>
          <w:sz w:val="21"/>
          <w:szCs w:val="21"/>
        </w:rPr>
        <w:t>产品投资风险由您自行承担，请您确认是否已经认真阅读《理财产品投资协议书》、《销售（代理销售）协议书》、《理财产品说明书》、《风险揭示书》等销售文件内容，清楚并了解您投资的理财产品的特点、投资方向、风险收益特征等内容，综合考虑自身的财产与收入状况、投资经验、风险承受能力和投资偏好等，独立作出决策。</w:t>
      </w:r>
    </w:p>
    <w:p>
      <w:pPr>
        <w:spacing w:line="276" w:lineRule="auto"/>
        <w:ind w:right="-159" w:firstLine="422"/>
        <w:rPr>
          <w:rFonts w:asciiTheme="minorEastAsia" w:hAnsiTheme="minorEastAsia" w:eastAsiaTheme="minorEastAsia"/>
          <w:b/>
          <w:sz w:val="21"/>
          <w:szCs w:val="21"/>
        </w:rPr>
      </w:pPr>
      <w:r>
        <w:rPr>
          <w:rFonts w:hint="eastAsia" w:asciiTheme="minorEastAsia" w:hAnsiTheme="minorEastAsia" w:eastAsiaTheme="minorEastAsia"/>
          <w:b/>
          <w:sz w:val="21"/>
          <w:szCs w:val="21"/>
        </w:rPr>
        <w:t>二、理财产品购买流程</w:t>
      </w:r>
    </w:p>
    <w:p>
      <w:pPr>
        <w:spacing w:line="276" w:lineRule="auto"/>
        <w:ind w:right="-159" w:firstLine="420"/>
        <w:rPr>
          <w:rFonts w:asciiTheme="minorEastAsia" w:hAnsiTheme="minorEastAsia" w:eastAsiaTheme="minorEastAsia"/>
          <w:bCs/>
          <w:sz w:val="21"/>
          <w:szCs w:val="21"/>
        </w:rPr>
      </w:pPr>
      <w:r>
        <w:rPr>
          <w:rFonts w:hint="eastAsia" w:asciiTheme="minorEastAsia" w:hAnsiTheme="minorEastAsia" w:eastAsiaTheme="minorEastAsia"/>
          <w:bCs/>
          <w:sz w:val="21"/>
          <w:szCs w:val="21"/>
        </w:rPr>
        <w:t>（一）开立或持有代理销售机构账户，该账户用于本产品的理财资金划转及兑付，您应确保持有本产品期间所指定账户不做销户。</w:t>
      </w:r>
    </w:p>
    <w:p>
      <w:pPr>
        <w:spacing w:line="276" w:lineRule="auto"/>
        <w:ind w:right="-159" w:firstLine="420"/>
        <w:rPr>
          <w:rFonts w:asciiTheme="minorEastAsia" w:hAnsiTheme="minorEastAsia" w:eastAsiaTheme="minorEastAsia"/>
          <w:bCs/>
          <w:sz w:val="21"/>
          <w:szCs w:val="21"/>
        </w:rPr>
      </w:pPr>
      <w:r>
        <w:rPr>
          <w:rFonts w:hint="eastAsia" w:asciiTheme="minorEastAsia" w:hAnsiTheme="minorEastAsia" w:eastAsiaTheme="minorEastAsia"/>
          <w:bCs/>
          <w:sz w:val="21"/>
          <w:szCs w:val="21"/>
        </w:rPr>
        <w:t>（二）接受并完成代理销售机构对个人投资者的风险承受能力评估。为了及时更新您的财务状况，明确您的投资目标，</w:t>
      </w:r>
      <w:r>
        <w:rPr>
          <w:rFonts w:hint="eastAsia" w:asciiTheme="minorEastAsia" w:hAnsiTheme="minorEastAsia" w:eastAsiaTheme="minorEastAsia"/>
          <w:b/>
          <w:sz w:val="21"/>
          <w:szCs w:val="21"/>
        </w:rPr>
        <w:t>个人投资者风险承受能力评估结果的有效期为一年，若您的风险承受能力评估结果已过有效期或者在评级结果有效期内发生了可能影响您自身风险承受能力的情形，请您在再次购买理财产品前，通过代理销售机构的营业网点、网上银行、手机银行、电话银行等销售渠道重新进行风险承受能力评估。</w:t>
      </w:r>
      <w:r>
        <w:rPr>
          <w:rFonts w:hint="eastAsia" w:asciiTheme="minorEastAsia" w:hAnsiTheme="minorEastAsia" w:eastAsiaTheme="minorEastAsia"/>
          <w:bCs/>
          <w:sz w:val="21"/>
          <w:szCs w:val="21"/>
        </w:rPr>
        <w:t>请您根据风险承受能力评估结果选择与您风险承受能力相匹配的理财产品。</w:t>
      </w:r>
    </w:p>
    <w:p>
      <w:pPr>
        <w:spacing w:line="276" w:lineRule="auto"/>
        <w:ind w:right="-159" w:firstLine="420"/>
        <w:rPr>
          <w:rFonts w:asciiTheme="minorEastAsia" w:hAnsiTheme="minorEastAsia" w:eastAsiaTheme="minorEastAsia"/>
          <w:bCs/>
          <w:sz w:val="21"/>
          <w:szCs w:val="21"/>
        </w:rPr>
      </w:pPr>
      <w:r>
        <w:rPr>
          <w:rFonts w:hint="eastAsia" w:asciiTheme="minorEastAsia" w:hAnsiTheme="minorEastAsia" w:eastAsiaTheme="minorEastAsia"/>
          <w:bCs/>
          <w:sz w:val="21"/>
          <w:szCs w:val="21"/>
        </w:rPr>
        <w:t>（三）</w:t>
      </w:r>
      <w:bookmarkStart w:id="61" w:name="_Hlk46953554"/>
      <w:r>
        <w:rPr>
          <w:rFonts w:hint="eastAsia" w:asciiTheme="minorEastAsia" w:hAnsiTheme="minorEastAsia" w:eastAsiaTheme="minorEastAsia"/>
          <w:b/>
          <w:sz w:val="21"/>
          <w:szCs w:val="21"/>
        </w:rPr>
        <w:t>请仔细阅读《理财产品投资协议书》</w:t>
      </w:r>
      <w:bookmarkEnd w:id="61"/>
      <w:r>
        <w:rPr>
          <w:rFonts w:hint="eastAsia" w:asciiTheme="minorEastAsia" w:hAnsiTheme="minorEastAsia" w:eastAsiaTheme="minorEastAsia"/>
          <w:b/>
          <w:sz w:val="21"/>
          <w:szCs w:val="21"/>
        </w:rPr>
        <w:t>、《销售（代理销售）协议书》、《理财产品说明书》、《风险揭示书》、《投资者权益须知》以及其他有关文件（如有），确认已同意相关内容、充分了解相关风险并无疑问和异议后，签署相关销售文件，并办理购买手续。</w:t>
      </w:r>
    </w:p>
    <w:p>
      <w:pPr>
        <w:spacing w:line="276" w:lineRule="auto"/>
        <w:ind w:right="-159" w:firstLine="420"/>
        <w:rPr>
          <w:rFonts w:asciiTheme="minorEastAsia" w:hAnsiTheme="minorEastAsia" w:eastAsiaTheme="minorEastAsia"/>
          <w:bCs/>
          <w:sz w:val="21"/>
          <w:szCs w:val="21"/>
        </w:rPr>
      </w:pPr>
      <w:r>
        <w:rPr>
          <w:rFonts w:hint="eastAsia" w:asciiTheme="minorEastAsia" w:hAnsiTheme="minorEastAsia" w:eastAsiaTheme="minorEastAsia"/>
          <w:bCs/>
          <w:sz w:val="21"/>
          <w:szCs w:val="21"/>
        </w:rPr>
        <w:t>（四）代理销售机构营业网点、电子渠道（包括但不限于网上银行、手机银行等）可办理理财产品的购买手续，请以代理销售机构最终实际发售渠道为准。</w:t>
      </w:r>
    </w:p>
    <w:p>
      <w:pPr>
        <w:spacing w:line="276" w:lineRule="auto"/>
        <w:ind w:right="-159" w:firstLine="422"/>
        <w:rPr>
          <w:rFonts w:asciiTheme="minorEastAsia" w:hAnsiTheme="minorEastAsia" w:eastAsiaTheme="minorEastAsia"/>
          <w:b/>
          <w:sz w:val="21"/>
          <w:szCs w:val="21"/>
        </w:rPr>
      </w:pPr>
      <w:r>
        <w:rPr>
          <w:rFonts w:hint="eastAsia" w:asciiTheme="minorEastAsia" w:hAnsiTheme="minorEastAsia" w:eastAsiaTheme="minorEastAsia"/>
          <w:b/>
          <w:sz w:val="21"/>
          <w:szCs w:val="21"/>
        </w:rPr>
        <w:t>三、关于风险承受能力评估</w:t>
      </w:r>
    </w:p>
    <w:p>
      <w:pPr>
        <w:spacing w:line="276" w:lineRule="auto"/>
        <w:ind w:right="-159" w:firstLine="422"/>
        <w:rPr>
          <w:rFonts w:asciiTheme="minorEastAsia" w:hAnsiTheme="minorEastAsia" w:eastAsiaTheme="minorEastAsia"/>
          <w:bCs/>
          <w:sz w:val="21"/>
          <w:szCs w:val="21"/>
        </w:rPr>
      </w:pPr>
      <w:r>
        <w:rPr>
          <w:rFonts w:hint="eastAsia" w:asciiTheme="minorEastAsia" w:hAnsiTheme="minorEastAsia" w:eastAsiaTheme="minorEastAsia"/>
          <w:b/>
          <w:sz w:val="21"/>
          <w:szCs w:val="21"/>
        </w:rPr>
        <w:t>个人投资者应仔细阅读、填写风险评估问卷，以准确反映您的风险承受能力。</w:t>
      </w:r>
      <w:r>
        <w:rPr>
          <w:rFonts w:hint="eastAsia" w:asciiTheme="minorEastAsia" w:hAnsiTheme="minorEastAsia" w:eastAsiaTheme="minorEastAsia"/>
          <w:bCs/>
          <w:sz w:val="21"/>
          <w:szCs w:val="21"/>
        </w:rPr>
        <w:t>风险评估问卷的填写、评分过程是代理销售机构对个人投资者风险承受能力的评估过程。</w:t>
      </w:r>
    </w:p>
    <w:p>
      <w:pPr>
        <w:spacing w:line="276" w:lineRule="auto"/>
        <w:ind w:right="-159" w:firstLine="420"/>
        <w:rPr>
          <w:rFonts w:asciiTheme="minorEastAsia" w:hAnsiTheme="minorEastAsia" w:eastAsiaTheme="minorEastAsia"/>
          <w:bCs/>
          <w:sz w:val="21"/>
          <w:szCs w:val="21"/>
        </w:rPr>
      </w:pPr>
      <w:r>
        <w:rPr>
          <w:rFonts w:hint="eastAsia" w:asciiTheme="minorEastAsia" w:hAnsiTheme="minorEastAsia" w:eastAsiaTheme="minorEastAsia"/>
          <w:bCs/>
          <w:sz w:val="21"/>
          <w:szCs w:val="21"/>
        </w:rPr>
        <w:t>根据风险承受能力的不同，理财产品投资者可以分为以下几类。</w:t>
      </w:r>
    </w:p>
    <w:p>
      <w:pPr>
        <w:spacing w:line="276" w:lineRule="auto"/>
        <w:ind w:right="-159" w:firstLine="422"/>
        <w:rPr>
          <w:rFonts w:asciiTheme="minorEastAsia" w:hAnsiTheme="minorEastAsia" w:eastAsiaTheme="minorEastAsia"/>
          <w:bCs/>
          <w:sz w:val="21"/>
          <w:szCs w:val="21"/>
        </w:rPr>
      </w:pPr>
      <w:r>
        <w:rPr>
          <w:rFonts w:hint="eastAsia" w:asciiTheme="minorEastAsia" w:hAnsiTheme="minorEastAsia" w:eastAsiaTheme="minorEastAsia"/>
          <w:b/>
          <w:sz w:val="21"/>
          <w:szCs w:val="21"/>
        </w:rPr>
        <w:t>保守型投资者：</w:t>
      </w:r>
      <w:r>
        <w:rPr>
          <w:rFonts w:hint="eastAsia" w:asciiTheme="minorEastAsia" w:hAnsiTheme="minorEastAsia" w:eastAsiaTheme="minorEastAsia"/>
          <w:bCs/>
          <w:sz w:val="21"/>
          <w:szCs w:val="21"/>
        </w:rPr>
        <w:t>不希望自己的投资本金承担风险，对任何短期波动都会感到不安，不愿意通过承担风险换取额外收益，您适合投资于本公司风险评级为一级的理财产品。</w:t>
      </w:r>
    </w:p>
    <w:p>
      <w:pPr>
        <w:spacing w:line="276" w:lineRule="auto"/>
        <w:ind w:right="-159" w:firstLine="422"/>
        <w:rPr>
          <w:rFonts w:asciiTheme="minorEastAsia" w:hAnsiTheme="minorEastAsia" w:eastAsiaTheme="minorEastAsia"/>
          <w:bCs/>
          <w:sz w:val="21"/>
          <w:szCs w:val="21"/>
        </w:rPr>
      </w:pPr>
      <w:r>
        <w:rPr>
          <w:rFonts w:hint="eastAsia" w:asciiTheme="minorEastAsia" w:hAnsiTheme="minorEastAsia" w:eastAsiaTheme="minorEastAsia"/>
          <w:b/>
          <w:sz w:val="21"/>
          <w:szCs w:val="21"/>
        </w:rPr>
        <w:t>稳健型投资者：</w:t>
      </w:r>
      <w:r>
        <w:rPr>
          <w:rFonts w:hint="eastAsia" w:asciiTheme="minorEastAsia" w:hAnsiTheme="minorEastAsia" w:eastAsiaTheme="minorEastAsia"/>
          <w:bCs/>
          <w:sz w:val="21"/>
          <w:szCs w:val="21"/>
        </w:rPr>
        <w:t>不希望自己的投资本金承担风险，愿意通过承担较小的风险获取更高的收益，您适合投资于本公司风险评级为二级及以下的理财产品。</w:t>
      </w:r>
    </w:p>
    <w:p>
      <w:pPr>
        <w:spacing w:line="276" w:lineRule="auto"/>
        <w:ind w:right="-159" w:firstLine="422"/>
        <w:rPr>
          <w:rFonts w:asciiTheme="minorEastAsia" w:hAnsiTheme="minorEastAsia" w:eastAsiaTheme="minorEastAsia"/>
          <w:bCs/>
          <w:sz w:val="21"/>
          <w:szCs w:val="21"/>
        </w:rPr>
      </w:pPr>
      <w:r>
        <w:rPr>
          <w:rFonts w:hint="eastAsia" w:asciiTheme="minorEastAsia" w:hAnsiTheme="minorEastAsia" w:eastAsiaTheme="minorEastAsia"/>
          <w:b/>
          <w:sz w:val="21"/>
          <w:szCs w:val="21"/>
        </w:rPr>
        <w:t>平衡型投资者：</w:t>
      </w:r>
      <w:r>
        <w:rPr>
          <w:rFonts w:hint="eastAsia" w:asciiTheme="minorEastAsia" w:hAnsiTheme="minorEastAsia" w:eastAsiaTheme="minorEastAsia"/>
          <w:bCs/>
          <w:sz w:val="21"/>
          <w:szCs w:val="21"/>
        </w:rPr>
        <w:t>愿意承担中等的投资风险和波动，愿意接受随时出现的短期损失，以期获得更高的投资收益</w:t>
      </w:r>
      <w:r>
        <w:rPr>
          <w:rFonts w:hint="eastAsia" w:asciiTheme="minorEastAsia" w:hAnsiTheme="minorEastAsia" w:eastAsiaTheme="minorEastAsia"/>
          <w:sz w:val="21"/>
          <w:szCs w:val="21"/>
        </w:rPr>
        <w:t>，</w:t>
      </w:r>
      <w:r>
        <w:rPr>
          <w:rFonts w:hint="eastAsia" w:asciiTheme="minorEastAsia" w:hAnsiTheme="minorEastAsia" w:eastAsiaTheme="minorEastAsia"/>
          <w:bCs/>
          <w:sz w:val="21"/>
          <w:szCs w:val="21"/>
        </w:rPr>
        <w:t>您适合投资于本公司风险评级为三级及以下的理财产品。</w:t>
      </w:r>
    </w:p>
    <w:p>
      <w:pPr>
        <w:spacing w:line="276" w:lineRule="auto"/>
        <w:ind w:right="-159" w:firstLine="422"/>
        <w:rPr>
          <w:rFonts w:asciiTheme="minorEastAsia" w:hAnsiTheme="minorEastAsia" w:eastAsiaTheme="minorEastAsia"/>
          <w:bCs/>
          <w:sz w:val="21"/>
          <w:szCs w:val="21"/>
        </w:rPr>
      </w:pPr>
      <w:r>
        <w:rPr>
          <w:rFonts w:hint="eastAsia" w:asciiTheme="minorEastAsia" w:hAnsiTheme="minorEastAsia" w:eastAsiaTheme="minorEastAsia"/>
          <w:b/>
          <w:sz w:val="21"/>
          <w:szCs w:val="21"/>
        </w:rPr>
        <w:t>积极型投资者：</w:t>
      </w:r>
      <w:r>
        <w:rPr>
          <w:rFonts w:hint="eastAsia" w:asciiTheme="minorEastAsia" w:hAnsiTheme="minorEastAsia" w:eastAsiaTheme="minorEastAsia"/>
          <w:bCs/>
          <w:sz w:val="21"/>
          <w:szCs w:val="21"/>
        </w:rPr>
        <w:t>愿意承担较高的投资风险和本金损失来获取更高的投资收益</w:t>
      </w:r>
      <w:r>
        <w:rPr>
          <w:rFonts w:hint="eastAsia" w:asciiTheme="minorEastAsia" w:hAnsiTheme="minorEastAsia" w:eastAsiaTheme="minorEastAsia"/>
          <w:sz w:val="21"/>
          <w:szCs w:val="21"/>
        </w:rPr>
        <w:t>，</w:t>
      </w:r>
      <w:r>
        <w:rPr>
          <w:rFonts w:hint="eastAsia" w:asciiTheme="minorEastAsia" w:hAnsiTheme="minorEastAsia" w:eastAsiaTheme="minorEastAsia"/>
          <w:bCs/>
          <w:sz w:val="21"/>
          <w:szCs w:val="21"/>
        </w:rPr>
        <w:t>您适合投资于本公司风险评级为四级及以下的理财产品。</w:t>
      </w:r>
    </w:p>
    <w:p>
      <w:pPr>
        <w:spacing w:line="276" w:lineRule="auto"/>
        <w:ind w:right="-159" w:firstLine="422"/>
        <w:rPr>
          <w:rFonts w:asciiTheme="minorEastAsia" w:hAnsiTheme="minorEastAsia" w:eastAsiaTheme="minorEastAsia"/>
          <w:bCs/>
          <w:sz w:val="21"/>
          <w:szCs w:val="21"/>
        </w:rPr>
      </w:pPr>
      <w:r>
        <w:rPr>
          <w:rFonts w:hint="eastAsia" w:asciiTheme="minorEastAsia" w:hAnsiTheme="minorEastAsia" w:eastAsiaTheme="minorEastAsia"/>
          <w:b/>
          <w:sz w:val="21"/>
          <w:szCs w:val="21"/>
        </w:rPr>
        <w:t>激进型投资者：</w:t>
      </w:r>
      <w:r>
        <w:rPr>
          <w:rFonts w:hint="eastAsia" w:asciiTheme="minorEastAsia" w:hAnsiTheme="minorEastAsia" w:eastAsiaTheme="minorEastAsia"/>
          <w:bCs/>
          <w:sz w:val="21"/>
          <w:szCs w:val="21"/>
        </w:rPr>
        <w:t>愿意承担高的投资风险和大幅波动，且愿意通过承担几乎所有本金损失的风险来博取更高的投资回报，您适合投资于本公司风险评级为五级及以下的理财产品。</w:t>
      </w:r>
    </w:p>
    <w:p>
      <w:pPr>
        <w:spacing w:line="276" w:lineRule="auto"/>
        <w:ind w:right="-159" w:firstLine="422"/>
        <w:rPr>
          <w:rFonts w:asciiTheme="minorEastAsia" w:hAnsiTheme="minorEastAsia" w:eastAsiaTheme="minorEastAsia"/>
          <w:b/>
          <w:sz w:val="21"/>
          <w:szCs w:val="21"/>
        </w:rPr>
      </w:pPr>
      <w:r>
        <w:rPr>
          <w:rFonts w:hint="eastAsia" w:asciiTheme="minorEastAsia" w:hAnsiTheme="minorEastAsia" w:eastAsiaTheme="minorEastAsia"/>
          <w:b/>
          <w:sz w:val="21"/>
          <w:szCs w:val="21"/>
        </w:rPr>
        <w:t>以上分类为产品管理人内部设置的标准，仅供参考。理财产品通过代理销售机构渠道销售的，理财产品评级应当以代理销售机构最终披露的评级结果为准。</w:t>
      </w:r>
    </w:p>
    <w:p>
      <w:pPr>
        <w:spacing w:line="276" w:lineRule="auto"/>
        <w:ind w:right="-159" w:firstLine="422"/>
        <w:rPr>
          <w:rFonts w:asciiTheme="minorEastAsia" w:hAnsiTheme="minorEastAsia" w:eastAsiaTheme="minorEastAsia"/>
          <w:b/>
          <w:sz w:val="21"/>
          <w:szCs w:val="21"/>
        </w:rPr>
      </w:pPr>
      <w:r>
        <w:rPr>
          <w:rFonts w:hint="eastAsia" w:asciiTheme="minorEastAsia" w:hAnsiTheme="minorEastAsia" w:eastAsiaTheme="minorEastAsia"/>
          <w:b/>
          <w:sz w:val="21"/>
          <w:szCs w:val="21"/>
        </w:rPr>
        <w:t>风险评估的有效期为</w:t>
      </w:r>
      <w:r>
        <w:rPr>
          <w:rFonts w:asciiTheme="minorEastAsia" w:hAnsiTheme="minorEastAsia" w:eastAsiaTheme="minorEastAsia"/>
          <w:b/>
          <w:sz w:val="21"/>
          <w:szCs w:val="21"/>
        </w:rPr>
        <w:t>1</w:t>
      </w:r>
      <w:r>
        <w:rPr>
          <w:rFonts w:hint="eastAsia" w:asciiTheme="minorEastAsia" w:hAnsiTheme="minorEastAsia" w:eastAsiaTheme="minorEastAsia"/>
          <w:b/>
          <w:sz w:val="21"/>
          <w:szCs w:val="21"/>
        </w:rPr>
        <w:t>年，超过</w:t>
      </w:r>
      <w:r>
        <w:rPr>
          <w:rFonts w:asciiTheme="minorEastAsia" w:hAnsiTheme="minorEastAsia" w:eastAsiaTheme="minorEastAsia"/>
          <w:b/>
          <w:sz w:val="21"/>
          <w:szCs w:val="21"/>
        </w:rPr>
        <w:t>1</w:t>
      </w:r>
      <w:r>
        <w:rPr>
          <w:rFonts w:hint="eastAsia" w:asciiTheme="minorEastAsia" w:hAnsiTheme="minorEastAsia" w:eastAsiaTheme="minorEastAsia"/>
          <w:b/>
          <w:sz w:val="21"/>
          <w:szCs w:val="21"/>
        </w:rPr>
        <w:t>年未进行风险承受能力评估或发生可能影响自身风险承受能力的情况，必须重新完成风险承受能力评估。</w:t>
      </w:r>
    </w:p>
    <w:p>
      <w:pPr>
        <w:spacing w:line="276" w:lineRule="auto"/>
        <w:ind w:right="-159" w:firstLine="422"/>
        <w:rPr>
          <w:rFonts w:asciiTheme="minorEastAsia" w:hAnsiTheme="minorEastAsia" w:eastAsiaTheme="minorEastAsia"/>
          <w:b/>
          <w:sz w:val="21"/>
          <w:szCs w:val="21"/>
        </w:rPr>
      </w:pPr>
      <w:r>
        <w:rPr>
          <w:rFonts w:hint="eastAsia" w:asciiTheme="minorEastAsia" w:hAnsiTheme="minorEastAsia" w:eastAsiaTheme="minorEastAsia"/>
          <w:b/>
          <w:sz w:val="21"/>
          <w:szCs w:val="21"/>
        </w:rPr>
        <w:t>四、关于理财产品信息披露</w:t>
      </w:r>
    </w:p>
    <w:p>
      <w:pPr>
        <w:spacing w:line="276" w:lineRule="auto"/>
        <w:ind w:right="-159" w:firstLine="420"/>
        <w:rPr>
          <w:rFonts w:asciiTheme="minorEastAsia" w:hAnsiTheme="minorEastAsia" w:eastAsiaTheme="minorEastAsia"/>
          <w:bCs/>
          <w:sz w:val="21"/>
          <w:szCs w:val="21"/>
        </w:rPr>
      </w:pPr>
      <w:r>
        <w:rPr>
          <w:rFonts w:hint="eastAsia" w:asciiTheme="minorEastAsia" w:hAnsiTheme="minorEastAsia" w:eastAsiaTheme="minorEastAsia"/>
          <w:bCs/>
          <w:sz w:val="21"/>
          <w:szCs w:val="21"/>
        </w:rPr>
        <w:t>本公司将以公告或与客户约定的形式进行理财产品信息披露。</w:t>
      </w:r>
    </w:p>
    <w:p>
      <w:pPr>
        <w:spacing w:line="276" w:lineRule="auto"/>
        <w:ind w:right="-159" w:firstLine="422"/>
        <w:rPr>
          <w:rFonts w:asciiTheme="minorEastAsia" w:hAnsiTheme="minorEastAsia" w:eastAsiaTheme="minorEastAsia"/>
          <w:bCs/>
          <w:sz w:val="21"/>
          <w:szCs w:val="21"/>
        </w:rPr>
      </w:pPr>
      <w:r>
        <w:rPr>
          <w:rFonts w:hint="eastAsia" w:asciiTheme="minorEastAsia" w:hAnsiTheme="minorEastAsia" w:eastAsiaTheme="minorEastAsia"/>
          <w:b/>
          <w:sz w:val="21"/>
          <w:szCs w:val="21"/>
        </w:rPr>
        <w:t>本公司理财产品信息披露的渠道包括但不限于：渝农商理财有限责任公司网站（</w:t>
      </w:r>
      <w:r>
        <w:rPr>
          <w:rFonts w:asciiTheme="minorEastAsia" w:hAnsiTheme="minorEastAsia" w:eastAsiaTheme="minorEastAsia"/>
          <w:b/>
          <w:sz w:val="21"/>
          <w:szCs w:val="21"/>
        </w:rPr>
        <w:t>wm.cqrcb.com</w:t>
      </w:r>
      <w:r>
        <w:rPr>
          <w:rFonts w:hint="eastAsia" w:asciiTheme="minorEastAsia" w:hAnsiTheme="minorEastAsia" w:eastAsiaTheme="minorEastAsia"/>
          <w:b/>
          <w:sz w:val="21"/>
          <w:szCs w:val="21"/>
        </w:rPr>
        <w:t>）、代理销售机构网站、营业网点、手机银行、网上银行等渠道，以及其他法律法规规定或与客户约定的形式；具体信息披露渠道和频率遵循《理财产品说明书》的约定。</w:t>
      </w:r>
      <w:r>
        <w:rPr>
          <w:rFonts w:hint="eastAsia" w:asciiTheme="minorEastAsia" w:hAnsiTheme="minorEastAsia" w:eastAsiaTheme="minorEastAsia"/>
          <w:bCs/>
          <w:sz w:val="21"/>
          <w:szCs w:val="21"/>
        </w:rPr>
        <w:t>信息披露的渠道如需变更，本公司将通过公告或与客户约定的形式告知。</w:t>
      </w:r>
    </w:p>
    <w:p>
      <w:pPr>
        <w:spacing w:line="276" w:lineRule="auto"/>
        <w:ind w:right="-159" w:firstLine="422"/>
        <w:rPr>
          <w:rFonts w:asciiTheme="minorEastAsia" w:hAnsiTheme="minorEastAsia" w:eastAsiaTheme="minorEastAsia"/>
          <w:b/>
          <w:sz w:val="21"/>
          <w:szCs w:val="21"/>
        </w:rPr>
      </w:pPr>
      <w:r>
        <w:rPr>
          <w:rFonts w:hint="eastAsia" w:asciiTheme="minorEastAsia" w:hAnsiTheme="minorEastAsia" w:eastAsiaTheme="minorEastAsia"/>
          <w:b/>
          <w:sz w:val="21"/>
          <w:szCs w:val="21"/>
        </w:rPr>
        <w:t>五、关于投诉与建议</w:t>
      </w:r>
    </w:p>
    <w:p>
      <w:pPr>
        <w:spacing w:line="276" w:lineRule="auto"/>
        <w:ind w:right="-159" w:firstLine="420"/>
        <w:rPr>
          <w:rFonts w:asciiTheme="minorEastAsia" w:hAnsiTheme="minorEastAsia" w:eastAsiaTheme="minorEastAsia"/>
          <w:bCs/>
          <w:sz w:val="21"/>
          <w:szCs w:val="21"/>
        </w:rPr>
      </w:pPr>
      <w:r>
        <w:rPr>
          <w:rFonts w:hint="eastAsia" w:asciiTheme="minorEastAsia" w:hAnsiTheme="minorEastAsia" w:eastAsiaTheme="minorEastAsia"/>
          <w:bCs/>
          <w:sz w:val="21"/>
          <w:szCs w:val="21"/>
        </w:rPr>
        <w:t>投资者对理财产品有任何投诉与建议，可通过以下渠道反映：</w:t>
      </w:r>
    </w:p>
    <w:p>
      <w:pPr>
        <w:spacing w:line="276" w:lineRule="auto"/>
        <w:ind w:right="-159" w:firstLine="420"/>
        <w:rPr>
          <w:rFonts w:asciiTheme="minorEastAsia" w:hAnsiTheme="minorEastAsia" w:eastAsiaTheme="minorEastAsia"/>
          <w:bCs/>
          <w:sz w:val="21"/>
          <w:szCs w:val="21"/>
        </w:rPr>
      </w:pPr>
      <w:r>
        <w:rPr>
          <w:rFonts w:hint="eastAsia" w:asciiTheme="minorEastAsia" w:hAnsiTheme="minorEastAsia" w:eastAsiaTheme="minorEastAsia"/>
          <w:bCs/>
          <w:sz w:val="21"/>
          <w:szCs w:val="21"/>
        </w:rPr>
        <w:t>（一）代理销售机构的工作人员；</w:t>
      </w:r>
    </w:p>
    <w:p>
      <w:pPr>
        <w:spacing w:line="276" w:lineRule="auto"/>
        <w:ind w:right="-159" w:firstLine="420"/>
        <w:rPr>
          <w:rFonts w:asciiTheme="minorEastAsia" w:hAnsiTheme="minorEastAsia" w:eastAsiaTheme="minorEastAsia"/>
          <w:bCs/>
          <w:sz w:val="21"/>
          <w:szCs w:val="21"/>
        </w:rPr>
      </w:pPr>
      <w:r>
        <w:rPr>
          <w:rFonts w:hint="eastAsia" w:asciiTheme="minorEastAsia" w:hAnsiTheme="minorEastAsia" w:eastAsiaTheme="minorEastAsia"/>
          <w:bCs/>
          <w:sz w:val="21"/>
          <w:szCs w:val="21"/>
        </w:rPr>
        <w:t>（二）代理销售机构客户服务热线：湖北银行客户服务热线027-96599，负责受理和处理投资者对代理销售机构理财产品销售业务活动中的相关投诉与建议；</w:t>
      </w:r>
    </w:p>
    <w:p>
      <w:pPr>
        <w:spacing w:line="276" w:lineRule="auto"/>
        <w:ind w:right="-159" w:firstLine="420"/>
        <w:rPr>
          <w:rFonts w:asciiTheme="minorEastAsia" w:hAnsiTheme="minorEastAsia" w:eastAsiaTheme="minorEastAsia"/>
          <w:bCs/>
          <w:sz w:val="21"/>
          <w:szCs w:val="21"/>
        </w:rPr>
      </w:pPr>
      <w:r>
        <w:rPr>
          <w:rFonts w:hint="eastAsia" w:asciiTheme="minorEastAsia" w:hAnsiTheme="minorEastAsia" w:eastAsiaTheme="minorEastAsia"/>
          <w:bCs/>
          <w:sz w:val="21"/>
          <w:szCs w:val="21"/>
        </w:rPr>
        <w:t>（三）投资者提出的关于理财产品发行与管理相关的投诉与建议，可通过代理销售机构客户服务热线进行反映，代理销售机构客户服务热线仅为受理渠道，最终以产品发行与管理机构处理结果或回复意见为准。</w:t>
      </w:r>
    </w:p>
    <w:p>
      <w:pPr>
        <w:spacing w:line="276" w:lineRule="auto"/>
        <w:ind w:right="-159" w:firstLine="420"/>
        <w:rPr>
          <w:rFonts w:asciiTheme="minorEastAsia" w:hAnsiTheme="minorEastAsia" w:eastAsiaTheme="minorEastAsia"/>
          <w:sz w:val="21"/>
          <w:szCs w:val="21"/>
        </w:rPr>
      </w:pPr>
    </w:p>
    <w:p>
      <w:pPr>
        <w:spacing w:line="276" w:lineRule="auto"/>
        <w:ind w:right="-159" w:firstLine="420"/>
        <w:rPr>
          <w:rFonts w:asciiTheme="minorEastAsia" w:hAnsiTheme="minorEastAsia" w:eastAsiaTheme="minorEastAsia"/>
          <w:sz w:val="21"/>
          <w:szCs w:val="21"/>
        </w:rPr>
      </w:pPr>
    </w:p>
    <w:p>
      <w:pPr>
        <w:snapToGrid w:val="0"/>
        <w:ind w:firstLine="420"/>
        <w:rPr>
          <w:rFonts w:asciiTheme="minorEastAsia" w:hAnsiTheme="minorEastAsia" w:eastAsiaTheme="minorEastAsia"/>
          <w:bCs/>
          <w:sz w:val="21"/>
          <w:szCs w:val="21"/>
        </w:rPr>
      </w:pPr>
      <w:r>
        <w:rPr>
          <w:rFonts w:hint="eastAsia" w:asciiTheme="minorEastAsia" w:hAnsiTheme="minorEastAsia" w:eastAsiaTheme="minorEastAsia"/>
          <w:bCs/>
          <w:sz w:val="21"/>
          <w:szCs w:val="21"/>
        </w:rPr>
        <w:t>【本人</w:t>
      </w:r>
      <w:r>
        <w:rPr>
          <w:rFonts w:asciiTheme="minorEastAsia" w:hAnsiTheme="minorEastAsia" w:eastAsiaTheme="minorEastAsia"/>
          <w:bCs/>
          <w:sz w:val="21"/>
          <w:szCs w:val="21"/>
        </w:rPr>
        <w:t>/</w:t>
      </w:r>
      <w:r>
        <w:rPr>
          <w:rFonts w:hint="eastAsia" w:asciiTheme="minorEastAsia" w:hAnsiTheme="minorEastAsia" w:eastAsiaTheme="minorEastAsia"/>
          <w:bCs/>
          <w:sz w:val="21"/>
          <w:szCs w:val="21"/>
        </w:rPr>
        <w:t>本机构已阅读并理解前述权益须知】</w:t>
      </w:r>
    </w:p>
    <w:p>
      <w:pPr>
        <w:spacing w:line="276" w:lineRule="auto"/>
        <w:ind w:firstLine="420"/>
        <w:rPr>
          <w:rFonts w:asciiTheme="minorEastAsia" w:hAnsiTheme="minorEastAsia" w:eastAsiaTheme="minorEastAsia"/>
          <w:sz w:val="21"/>
          <w:szCs w:val="21"/>
        </w:rPr>
      </w:pPr>
    </w:p>
    <w:p>
      <w:pPr>
        <w:spacing w:line="276" w:lineRule="auto"/>
        <w:ind w:firstLine="42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个人投资者签字：</w:t>
      </w:r>
    </w:p>
    <w:p>
      <w:pPr>
        <w:spacing w:line="276" w:lineRule="auto"/>
        <w:ind w:firstLine="420"/>
        <w:rPr>
          <w:rFonts w:cs="Arial" w:asciiTheme="minorEastAsia" w:hAnsiTheme="minorEastAsia" w:eastAsiaTheme="minorEastAsia"/>
          <w:sz w:val="21"/>
          <w:szCs w:val="21"/>
        </w:rPr>
      </w:pPr>
    </w:p>
    <w:p>
      <w:pPr>
        <w:spacing w:line="276" w:lineRule="auto"/>
        <w:ind w:firstLine="42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机构投资者（盖章）：</w:t>
      </w:r>
    </w:p>
    <w:p>
      <w:pPr>
        <w:spacing w:line="276" w:lineRule="auto"/>
        <w:ind w:firstLine="420"/>
        <w:rPr>
          <w:rFonts w:cs="Arial" w:asciiTheme="minorEastAsia" w:hAnsiTheme="minorEastAsia" w:eastAsiaTheme="minorEastAsia"/>
          <w:sz w:val="21"/>
          <w:szCs w:val="21"/>
        </w:rPr>
      </w:pPr>
    </w:p>
    <w:p>
      <w:pPr>
        <w:spacing w:line="276" w:lineRule="auto"/>
        <w:ind w:firstLine="42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机构投资者法定代表人或授权代表（签字或盖章）:</w:t>
      </w:r>
    </w:p>
    <w:p>
      <w:pPr>
        <w:spacing w:line="276" w:lineRule="auto"/>
        <w:ind w:firstLine="420"/>
        <w:rPr>
          <w:rFonts w:ascii="Times New Roman"/>
          <w:szCs w:val="21"/>
        </w:rPr>
      </w:pPr>
      <w:r>
        <w:rPr>
          <w:rFonts w:hint="eastAsia" w:cs="Arial" w:asciiTheme="minorEastAsia" w:hAnsiTheme="minorEastAsia" w:eastAsiaTheme="minorEastAsia"/>
          <w:sz w:val="21"/>
          <w:szCs w:val="21"/>
        </w:rPr>
        <w:t>日期：</w:t>
      </w:r>
      <w:r>
        <w:rPr>
          <w:rFonts w:asciiTheme="minorEastAsia" w:hAnsiTheme="minorEastAsia" w:eastAsiaTheme="minorEastAsia"/>
          <w:sz w:val="21"/>
          <w:szCs w:val="21"/>
        </w:rPr>
        <w:t xml:space="preserve">    </w:t>
      </w:r>
    </w:p>
    <w:p>
      <w:pPr>
        <w:snapToGrid w:val="0"/>
        <w:spacing w:line="276" w:lineRule="auto"/>
        <w:ind w:firstLine="0" w:firstLineChars="0"/>
        <w:rPr>
          <w:rFonts w:ascii="Times New Roman"/>
          <w:szCs w:val="21"/>
        </w:rPr>
      </w:pPr>
    </w:p>
    <w:p>
      <w:pPr>
        <w:snapToGrid w:val="0"/>
        <w:spacing w:line="276" w:lineRule="auto"/>
        <w:ind w:firstLine="480"/>
        <w:rPr>
          <w:rFonts w:ascii="Times New Roman"/>
        </w:rPr>
      </w:pPr>
    </w:p>
    <w:p>
      <w:pPr>
        <w:ind w:firstLine="0" w:firstLineChars="0"/>
        <w:rPr>
          <w:rFonts w:asciiTheme="minorEastAsia" w:hAnsiTheme="minorEastAsia" w:eastAsiaTheme="minorEastAsia"/>
          <w:sz w:val="21"/>
          <w:szCs w:val="21"/>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Calibri Light">
    <w:altName w:val="Calibri"/>
    <w:panose1 w:val="020F0302020204030204"/>
    <w:charset w:val="00"/>
    <w:family w:val="swiss"/>
    <w:pitch w:val="default"/>
    <w:sig w:usb0="00000000" w:usb1="00000000" w:usb2="00000009" w:usb3="00000000" w:csb0="000001FF" w:csb1="00000000"/>
  </w:font>
  <w:font w:name="Book Antiqua">
    <w:altName w:val="Segoe Print"/>
    <w:panose1 w:val="02040602050305030304"/>
    <w:charset w:val="00"/>
    <w:family w:val="roman"/>
    <w:pitch w:val="default"/>
    <w:sig w:usb0="00000000" w:usb1="00000000" w:usb2="00000000" w:usb3="00000000" w:csb0="0000009F" w:csb1="00000000"/>
  </w:font>
  <w:font w:name="方正小标宋_GBK">
    <w:altName w:val="微软雅黑"/>
    <w:panose1 w:val="00000000000000000000"/>
    <w:charset w:val="86"/>
    <w:family w:val="auto"/>
    <w:pitch w:val="default"/>
    <w:sig w:usb0="00000000" w:usb1="00000000" w:usb2="00000000" w:usb3="00000000" w:csb0="00040000" w:csb1="00000000"/>
  </w:font>
  <w:font w:name="Arial">
    <w:panose1 w:val="020B0604020202020204"/>
    <w:charset w:val="00"/>
    <w:family w:val="swiss"/>
    <w:pitch w:val="default"/>
    <w:sig w:usb0="E0002AFF" w:usb1="C0007843" w:usb2="00000009" w:usb3="00000000" w:csb0="400001FF" w:csb1="FFFF0000"/>
  </w:font>
  <w:font w:name="方正楷体_GBK">
    <w:altName w:val="微软雅黑"/>
    <w:panose1 w:val="00000000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r>
      <w:rPr>
        <w:rFonts w:ascii="Times New Roman" w:hAnsi="Times New Roman" w:eastAsia="楷体_GB2312"/>
        <w:color w:val="333333"/>
      </w:rPr>
      <w:t xml:space="preserve">第 </w:t>
    </w:r>
    <w:r>
      <w:rPr>
        <w:rFonts w:ascii="Times New Roman" w:hAnsi="Times New Roman"/>
      </w:rPr>
      <w:fldChar w:fldCharType="begin"/>
    </w:r>
    <w:r>
      <w:rPr>
        <w:rStyle w:val="23"/>
        <w:rFonts w:ascii="Times New Roman" w:hAnsi="Times New Roman"/>
      </w:rPr>
      <w:instrText xml:space="preserve"> PAGE </w:instrText>
    </w:r>
    <w:r>
      <w:rPr>
        <w:rFonts w:ascii="Times New Roman" w:hAnsi="Times New Roman"/>
      </w:rPr>
      <w:fldChar w:fldCharType="separate"/>
    </w:r>
    <w:r>
      <w:rPr>
        <w:rStyle w:val="23"/>
        <w:rFonts w:ascii="Times New Roman" w:hAnsi="Times New Roman"/>
      </w:rPr>
      <w:t>31</w:t>
    </w:r>
    <w:r>
      <w:rPr>
        <w:rFonts w:ascii="Times New Roman" w:hAnsi="Times New Roman"/>
      </w:rPr>
      <w:fldChar w:fldCharType="end"/>
    </w:r>
    <w:r>
      <w:rPr>
        <w:rFonts w:ascii="Times New Roman" w:hAnsi="Times New Roman" w:eastAsia="楷体_GB2312"/>
        <w:color w:val="333333"/>
      </w:rPr>
      <w:t xml:space="preserve"> 页  共 </w:t>
    </w:r>
    <w:r>
      <w:rPr>
        <w:rFonts w:ascii="Times New Roman" w:hAnsi="Times New Roman"/>
      </w:rPr>
      <w:fldChar w:fldCharType="begin"/>
    </w:r>
    <w:r>
      <w:rPr>
        <w:rStyle w:val="23"/>
        <w:rFonts w:ascii="Times New Roman" w:hAnsi="Times New Roman"/>
      </w:rPr>
      <w:instrText xml:space="preserve"> NUMPAGES </w:instrText>
    </w:r>
    <w:r>
      <w:rPr>
        <w:rFonts w:ascii="Times New Roman" w:hAnsi="Times New Roman"/>
      </w:rPr>
      <w:fldChar w:fldCharType="separate"/>
    </w:r>
    <w:r>
      <w:rPr>
        <w:rStyle w:val="23"/>
        <w:rFonts w:ascii="Times New Roman" w:hAnsi="Times New Roman"/>
      </w:rPr>
      <w:t>31</w:t>
    </w:r>
    <w:r>
      <w:rPr>
        <w:rFonts w:ascii="Times New Roman" w:hAnsi="Times New Roman"/>
      </w:rPr>
      <w:fldChar w:fldCharType="end"/>
    </w:r>
    <w:r>
      <w:rPr>
        <w:rStyle w:val="23"/>
        <w:rFonts w:ascii="Times New Roman" w:hAnsi="Times New Roman"/>
      </w:rPr>
      <w:t xml:space="preserve"> </w:t>
    </w:r>
    <w:r>
      <w:rPr>
        <w:rFonts w:ascii="Times New Roman" w:hAnsi="Times New Roman" w:eastAsia="楷体_GB2312"/>
        <w:color w:val="333333"/>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480"/>
    </w:pPr>
    <w:r>
      <w:rPr>
        <w:rFonts w:hint="eastAsia"/>
      </w:rPr>
      <w:t xml:space="preserve">                            </w:t>
    </w:r>
  </w:p>
  <w:p>
    <w:pPr>
      <w:pStyle w:val="1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253C45"/>
    <w:multiLevelType w:val="multilevel"/>
    <w:tmpl w:val="07253C45"/>
    <w:lvl w:ilvl="0" w:tentative="0">
      <w:start w:val="1"/>
      <w:numFmt w:val="decimal"/>
      <w:pStyle w:val="2"/>
      <w:suff w:val="nothing"/>
      <w:lvlText w:val="%1."/>
      <w:lvlJc w:val="left"/>
      <w:pPr>
        <w:ind w:left="0" w:firstLine="0"/>
      </w:pPr>
      <w:rPr>
        <w:rFonts w:hint="eastAsia"/>
      </w:rPr>
    </w:lvl>
    <w:lvl w:ilvl="1" w:tentative="0">
      <w:start w:val="1"/>
      <w:numFmt w:val="decimal"/>
      <w:suff w:val="nothing"/>
      <w:lvlText w:val="%1.%2."/>
      <w:lvlJc w:val="left"/>
      <w:pPr>
        <w:ind w:left="0" w:firstLine="0"/>
      </w:pPr>
      <w:rPr>
        <w:rFonts w:hint="eastAsia"/>
      </w:rPr>
    </w:lvl>
    <w:lvl w:ilvl="2" w:tentative="0">
      <w:start w:val="1"/>
      <w:numFmt w:val="decimal"/>
      <w:pStyle w:val="6"/>
      <w:suff w:val="nothing"/>
      <w:lvlText w:val="%1.%2.%3."/>
      <w:lvlJc w:val="left"/>
      <w:pPr>
        <w:ind w:left="0" w:firstLine="0"/>
      </w:pPr>
      <w:rPr>
        <w:rFonts w:hint="eastAsia"/>
      </w:rPr>
    </w:lvl>
    <w:lvl w:ilvl="3" w:tentative="0">
      <w:start w:val="1"/>
      <w:numFmt w:val="decimal"/>
      <w:pStyle w:val="7"/>
      <w:suff w:val="nothing"/>
      <w:lvlText w:val="%1.%2.%3.%4."/>
      <w:lvlJc w:val="left"/>
      <w:pPr>
        <w:ind w:left="0" w:firstLine="0"/>
      </w:pPr>
      <w:rPr>
        <w:rFonts w:hint="eastAsia"/>
      </w:rPr>
    </w:lvl>
    <w:lvl w:ilvl="4" w:tentative="0">
      <w:start w:val="1"/>
      <w:numFmt w:val="decimal"/>
      <w:pStyle w:val="8"/>
      <w:suff w:val="nothing"/>
      <w:lvlText w:val="%1.%2.%3.%4.%5."/>
      <w:lvlJc w:val="left"/>
      <w:pPr>
        <w:ind w:left="0" w:firstLine="0"/>
      </w:pPr>
      <w:rPr>
        <w:rFonts w:hint="eastAsia"/>
      </w:rPr>
    </w:lvl>
    <w:lvl w:ilvl="5" w:tentative="0">
      <w:start w:val="1"/>
      <w:numFmt w:val="decimal"/>
      <w:pStyle w:val="9"/>
      <w:suff w:val="nothing"/>
      <w:lvlText w:val="%1.%2.%3.%4.%5.%6."/>
      <w:lvlJc w:val="left"/>
      <w:pPr>
        <w:ind w:left="0" w:firstLine="0"/>
      </w:pPr>
      <w:rPr>
        <w:rFonts w:hint="eastAsia"/>
      </w:rPr>
    </w:lvl>
    <w:lvl w:ilvl="6" w:tentative="0">
      <w:start w:val="1"/>
      <w:numFmt w:val="decimal"/>
      <w:pStyle w:val="10"/>
      <w:suff w:val="nothing"/>
      <w:lvlText w:val="%1.%2.%3.%4.%5.%6.%7."/>
      <w:lvlJc w:val="left"/>
      <w:pPr>
        <w:ind w:left="0" w:firstLine="0"/>
      </w:pPr>
      <w:rPr>
        <w:rFonts w:hint="eastAsia"/>
      </w:rPr>
    </w:lvl>
    <w:lvl w:ilvl="7" w:tentative="0">
      <w:start w:val="1"/>
      <w:numFmt w:val="decimal"/>
      <w:pStyle w:val="11"/>
      <w:suff w:val="nothing"/>
      <w:lvlText w:val="%1.%2.%3.%4.%5.%6.%7.%8."/>
      <w:lvlJc w:val="left"/>
      <w:pPr>
        <w:ind w:left="0" w:firstLine="0"/>
      </w:pPr>
      <w:rPr>
        <w:rFonts w:hint="eastAsia"/>
      </w:rPr>
    </w:lvl>
    <w:lvl w:ilvl="8" w:tentative="0">
      <w:start w:val="1"/>
      <w:numFmt w:val="decimal"/>
      <w:suff w:val="nothing"/>
      <w:lvlText w:val="%1.%2.%3.%4.%5.%6.%7.%8.%9."/>
      <w:lvlJc w:val="left"/>
      <w:pPr>
        <w:ind w:left="0" w:firstLine="0"/>
      </w:pPr>
      <w:rPr>
        <w:rFonts w:hint="eastAsia"/>
      </w:rPr>
    </w:lvl>
  </w:abstractNum>
  <w:abstractNum w:abstractNumId="1">
    <w:nsid w:val="28615DF1"/>
    <w:multiLevelType w:val="multilevel"/>
    <w:tmpl w:val="28615DF1"/>
    <w:lvl w:ilvl="0" w:tentative="0">
      <w:start w:val="1"/>
      <w:numFmt w:val="decimal"/>
      <w:suff w:val="nothing"/>
      <w:lvlText w:val="%1."/>
      <w:lvlJc w:val="left"/>
      <w:pPr>
        <w:ind w:left="0" w:firstLine="0"/>
      </w:pPr>
      <w:rPr>
        <w:rFonts w:hint="eastAsia"/>
      </w:rPr>
    </w:lvl>
    <w:lvl w:ilvl="1" w:tentative="0">
      <w:start w:val="1"/>
      <w:numFmt w:val="decimal"/>
      <w:suff w:val="nothing"/>
      <w:lvlText w:val="%1.%2."/>
      <w:lvlJc w:val="left"/>
      <w:pPr>
        <w:ind w:left="0" w:firstLine="0"/>
      </w:pPr>
      <w:rPr>
        <w:rFonts w:hint="eastAsia"/>
      </w:rPr>
    </w:lvl>
    <w:lvl w:ilvl="2" w:tentative="0">
      <w:start w:val="1"/>
      <w:numFmt w:val="decimal"/>
      <w:suff w:val="nothing"/>
      <w:lvlText w:val="%1.%2.%3."/>
      <w:lvlJc w:val="left"/>
      <w:pPr>
        <w:ind w:left="0" w:firstLine="0"/>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pStyle w:val="12"/>
      <w:lvlText w:val="%1.%2.%3.%4.%5.%6.%7.%8.%9."/>
      <w:lvlJc w:val="left"/>
      <w:pPr>
        <w:ind w:left="1559" w:hanging="1559"/>
      </w:pPr>
      <w:rPr>
        <w:rFonts w:hint="eastAsia"/>
      </w:rPr>
    </w:lvl>
  </w:abstractNum>
  <w:abstractNum w:abstractNumId="2">
    <w:nsid w:val="616F3123"/>
    <w:multiLevelType w:val="multilevel"/>
    <w:tmpl w:val="616F3123"/>
    <w:lvl w:ilvl="0" w:tentative="0">
      <w:start w:val="1"/>
      <w:numFmt w:val="decimal"/>
      <w:suff w:val="space"/>
      <w:lvlText w:val="%1."/>
      <w:lvlJc w:val="left"/>
      <w:pPr>
        <w:ind w:left="0" w:firstLine="0"/>
      </w:pPr>
      <w:rPr>
        <w:rFonts w:hint="eastAsia"/>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6D0357A6"/>
    <w:multiLevelType w:val="multilevel"/>
    <w:tmpl w:val="6D0357A6"/>
    <w:lvl w:ilvl="0" w:tentative="0">
      <w:start w:val="1"/>
      <w:numFmt w:val="decimal"/>
      <w:suff w:val="nothing"/>
      <w:lvlText w:val="%1."/>
      <w:lvlJc w:val="left"/>
      <w:pPr>
        <w:ind w:left="0" w:firstLine="0"/>
      </w:pPr>
      <w:rPr>
        <w:rFonts w:hint="eastAsia"/>
      </w:rPr>
    </w:lvl>
    <w:lvl w:ilvl="1" w:tentative="0">
      <w:start w:val="1"/>
      <w:numFmt w:val="decimal"/>
      <w:pStyle w:val="4"/>
      <w:suff w:val="nothing"/>
      <w:lvlText w:val="%1.%2."/>
      <w:lvlJc w:val="left"/>
      <w:pPr>
        <w:ind w:left="0" w:firstLine="0"/>
      </w:pPr>
      <w:rPr>
        <w:rFonts w:hint="eastAsia"/>
      </w:rPr>
    </w:lvl>
    <w:lvl w:ilvl="2" w:tentative="0">
      <w:start w:val="1"/>
      <w:numFmt w:val="decimal"/>
      <w:lvlRestart w:val="1"/>
      <w:suff w:val="nothing"/>
      <w:lvlText w:val="%1.%2.%3."/>
      <w:lvlJc w:val="left"/>
      <w:pPr>
        <w:ind w:left="0" w:firstLine="0"/>
      </w:pPr>
      <w:rPr>
        <w:rFonts w:hint="eastAsia"/>
      </w:rPr>
    </w:lvl>
    <w:lvl w:ilvl="3" w:tentative="0">
      <w:start w:val="1"/>
      <w:numFmt w:val="decimal"/>
      <w:suff w:val="nothing"/>
      <w:lvlText w:val="%1.%2.%3.%4."/>
      <w:lvlJc w:val="left"/>
      <w:pPr>
        <w:ind w:left="0" w:firstLine="0"/>
      </w:pPr>
      <w:rPr>
        <w:rFonts w:hint="eastAsia"/>
      </w:rPr>
    </w:lvl>
    <w:lvl w:ilvl="4" w:tentative="0">
      <w:start w:val="1"/>
      <w:numFmt w:val="decimal"/>
      <w:suff w:val="nothing"/>
      <w:lvlText w:val="%1.%2.%3.%4.%5."/>
      <w:lvlJc w:val="left"/>
      <w:pPr>
        <w:ind w:left="0" w:firstLine="0"/>
      </w:pPr>
      <w:rPr>
        <w:rFonts w:hint="eastAsia"/>
      </w:rPr>
    </w:lvl>
    <w:lvl w:ilvl="5" w:tentative="0">
      <w:start w:val="1"/>
      <w:numFmt w:val="decimal"/>
      <w:suff w:val="nothing"/>
      <w:lvlText w:val="%1.%2.%3.%4.%5.%6."/>
      <w:lvlJc w:val="left"/>
      <w:pPr>
        <w:ind w:left="0" w:firstLine="0"/>
      </w:pPr>
      <w:rPr>
        <w:rFonts w:hint="eastAsia"/>
      </w:rPr>
    </w:lvl>
    <w:lvl w:ilvl="6" w:tentative="0">
      <w:start w:val="1"/>
      <w:numFmt w:val="decimal"/>
      <w:suff w:val="nothing"/>
      <w:lvlText w:val="%1.%2.%3.%4.%5.%6.%7."/>
      <w:lvlJc w:val="left"/>
      <w:pPr>
        <w:ind w:left="0" w:firstLine="0"/>
      </w:pPr>
      <w:rPr>
        <w:rFonts w:hint="eastAsia"/>
      </w:rPr>
    </w:lvl>
    <w:lvl w:ilvl="7" w:tentative="0">
      <w:start w:val="1"/>
      <w:numFmt w:val="decimal"/>
      <w:suff w:val="nothing"/>
      <w:lvlText w:val="%1.%2.%3.%4.%5.%6.%7.%8."/>
      <w:lvlJc w:val="left"/>
      <w:pPr>
        <w:ind w:left="0" w:firstLine="0"/>
      </w:pPr>
      <w:rPr>
        <w:rFonts w:hint="eastAsia"/>
      </w:rPr>
    </w:lvl>
    <w:lvl w:ilvl="8" w:tentative="0">
      <w:start w:val="1"/>
      <w:numFmt w:val="decimal"/>
      <w:suff w:val="nothing"/>
      <w:lvlText w:val="%1.%2.%3.%4.%5.%6.%7.%8.%9."/>
      <w:lvlJc w:val="left"/>
      <w:pPr>
        <w:ind w:left="0" w:firstLine="0"/>
      </w:pPr>
      <w:rPr>
        <w:rFonts w:hint="eastAsia"/>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47FB"/>
    <w:rsid w:val="001315A3"/>
    <w:rsid w:val="001C1DE4"/>
    <w:rsid w:val="002105D8"/>
    <w:rsid w:val="002A6964"/>
    <w:rsid w:val="003825FA"/>
    <w:rsid w:val="003B2589"/>
    <w:rsid w:val="003D6519"/>
    <w:rsid w:val="0046283F"/>
    <w:rsid w:val="00491C6D"/>
    <w:rsid w:val="0067768A"/>
    <w:rsid w:val="006E2226"/>
    <w:rsid w:val="00854B4F"/>
    <w:rsid w:val="0096275B"/>
    <w:rsid w:val="00B221F0"/>
    <w:rsid w:val="00B47C4E"/>
    <w:rsid w:val="00B62BF2"/>
    <w:rsid w:val="00C47926"/>
    <w:rsid w:val="00C747FB"/>
    <w:rsid w:val="00DF669B"/>
    <w:rsid w:val="3B2E3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adjustRightInd w:val="0"/>
      <w:ind w:firstLine="200" w:firstLineChars="200"/>
    </w:pPr>
    <w:rPr>
      <w:rFonts w:ascii="宋体" w:hAnsi="Times New Roman" w:eastAsia="宋体" w:cs="Arial Unicode MS"/>
      <w:kern w:val="0"/>
      <w:sz w:val="24"/>
      <w:szCs w:val="22"/>
      <w:lang w:val="en-US" w:eastAsia="zh-CN" w:bidi="ar-SA"/>
    </w:rPr>
  </w:style>
  <w:style w:type="paragraph" w:styleId="2">
    <w:name w:val="heading 1"/>
    <w:basedOn w:val="3"/>
    <w:next w:val="1"/>
    <w:link w:val="26"/>
    <w:qFormat/>
    <w:uiPriority w:val="0"/>
    <w:pPr>
      <w:keepNext/>
      <w:widowControl/>
      <w:numPr>
        <w:ilvl w:val="0"/>
        <w:numId w:val="1"/>
      </w:numPr>
      <w:ind w:firstLineChars="0"/>
    </w:pPr>
    <w:rPr>
      <w:rFonts w:ascii="宋体" w:hAnsi="宋体" w:cs="Times New Roman"/>
      <w:bCs w:val="0"/>
      <w:sz w:val="28"/>
      <w:szCs w:val="20"/>
    </w:rPr>
  </w:style>
  <w:style w:type="paragraph" w:styleId="4">
    <w:name w:val="heading 2"/>
    <w:basedOn w:val="5"/>
    <w:next w:val="1"/>
    <w:link w:val="27"/>
    <w:qFormat/>
    <w:uiPriority w:val="0"/>
    <w:pPr>
      <w:numPr>
        <w:ilvl w:val="1"/>
        <w:numId w:val="2"/>
      </w:numPr>
      <w:outlineLvl w:val="1"/>
    </w:pPr>
    <w:rPr>
      <w:b/>
      <w:szCs w:val="24"/>
    </w:rPr>
  </w:style>
  <w:style w:type="paragraph" w:styleId="6">
    <w:name w:val="heading 3"/>
    <w:basedOn w:val="5"/>
    <w:next w:val="1"/>
    <w:link w:val="28"/>
    <w:qFormat/>
    <w:uiPriority w:val="0"/>
    <w:pPr>
      <w:keepNext/>
      <w:keepLines/>
      <w:numPr>
        <w:ilvl w:val="2"/>
        <w:numId w:val="1"/>
      </w:numPr>
      <w:outlineLvl w:val="2"/>
    </w:pPr>
    <w:rPr>
      <w:b/>
      <w:bCs/>
      <w:szCs w:val="32"/>
    </w:rPr>
  </w:style>
  <w:style w:type="paragraph" w:styleId="7">
    <w:name w:val="heading 4"/>
    <w:basedOn w:val="5"/>
    <w:next w:val="1"/>
    <w:link w:val="32"/>
    <w:qFormat/>
    <w:uiPriority w:val="0"/>
    <w:pPr>
      <w:keepNext/>
      <w:keepLines/>
      <w:numPr>
        <w:ilvl w:val="3"/>
        <w:numId w:val="1"/>
      </w:numPr>
      <w:outlineLvl w:val="3"/>
    </w:pPr>
    <w:rPr>
      <w:rFonts w:cstheme="majorBidi"/>
      <w:b/>
      <w:bCs/>
      <w:szCs w:val="28"/>
    </w:rPr>
  </w:style>
  <w:style w:type="paragraph" w:styleId="8">
    <w:name w:val="heading 5"/>
    <w:basedOn w:val="5"/>
    <w:next w:val="1"/>
    <w:link w:val="33"/>
    <w:qFormat/>
    <w:uiPriority w:val="0"/>
    <w:pPr>
      <w:keepNext/>
      <w:keepLines/>
      <w:numPr>
        <w:ilvl w:val="4"/>
        <w:numId w:val="1"/>
      </w:numPr>
      <w:outlineLvl w:val="4"/>
    </w:pPr>
    <w:rPr>
      <w:b/>
      <w:bCs/>
      <w:szCs w:val="28"/>
    </w:rPr>
  </w:style>
  <w:style w:type="paragraph" w:styleId="9">
    <w:name w:val="heading 6"/>
    <w:basedOn w:val="5"/>
    <w:next w:val="1"/>
    <w:link w:val="34"/>
    <w:qFormat/>
    <w:uiPriority w:val="0"/>
    <w:pPr>
      <w:keepNext/>
      <w:keepLines/>
      <w:numPr>
        <w:ilvl w:val="5"/>
        <w:numId w:val="1"/>
      </w:numPr>
      <w:outlineLvl w:val="5"/>
    </w:pPr>
    <w:rPr>
      <w:rFonts w:asciiTheme="majorHAnsi" w:hAnsiTheme="majorHAnsi" w:cstheme="majorBidi"/>
      <w:b/>
      <w:bCs/>
      <w:sz w:val="24"/>
      <w:szCs w:val="24"/>
    </w:rPr>
  </w:style>
  <w:style w:type="paragraph" w:styleId="10">
    <w:name w:val="heading 7"/>
    <w:basedOn w:val="5"/>
    <w:next w:val="1"/>
    <w:link w:val="35"/>
    <w:qFormat/>
    <w:uiPriority w:val="0"/>
    <w:pPr>
      <w:keepNext/>
      <w:keepLines/>
      <w:numPr>
        <w:ilvl w:val="6"/>
        <w:numId w:val="1"/>
      </w:numPr>
      <w:outlineLvl w:val="6"/>
    </w:pPr>
    <w:rPr>
      <w:b/>
      <w:bCs/>
      <w:sz w:val="24"/>
      <w:szCs w:val="24"/>
    </w:rPr>
  </w:style>
  <w:style w:type="paragraph" w:styleId="11">
    <w:name w:val="heading 8"/>
    <w:basedOn w:val="5"/>
    <w:next w:val="1"/>
    <w:link w:val="36"/>
    <w:qFormat/>
    <w:uiPriority w:val="0"/>
    <w:pPr>
      <w:keepNext/>
      <w:keepLines/>
      <w:numPr>
        <w:ilvl w:val="7"/>
        <w:numId w:val="1"/>
      </w:numPr>
      <w:outlineLvl w:val="7"/>
    </w:pPr>
    <w:rPr>
      <w:rFonts w:asciiTheme="majorHAnsi" w:hAnsiTheme="majorHAnsi" w:cstheme="majorBidi"/>
      <w:b/>
      <w:sz w:val="24"/>
      <w:szCs w:val="24"/>
    </w:rPr>
  </w:style>
  <w:style w:type="paragraph" w:styleId="12">
    <w:name w:val="heading 9"/>
    <w:basedOn w:val="5"/>
    <w:next w:val="1"/>
    <w:link w:val="37"/>
    <w:qFormat/>
    <w:uiPriority w:val="0"/>
    <w:pPr>
      <w:keepNext/>
      <w:keepLines/>
      <w:numPr>
        <w:ilvl w:val="8"/>
        <w:numId w:val="3"/>
      </w:numPr>
      <w:ind w:left="0" w:firstLine="0"/>
      <w:outlineLvl w:val="8"/>
    </w:pPr>
    <w:rPr>
      <w:rFonts w:asciiTheme="majorHAnsi" w:hAnsiTheme="majorHAnsi" w:cstheme="majorBidi"/>
      <w:b/>
      <w:sz w:val="24"/>
    </w:rPr>
  </w:style>
  <w:style w:type="character" w:default="1" w:styleId="21">
    <w:name w:val="Default Paragraph Font"/>
    <w:semiHidden/>
    <w:unhideWhenUsed/>
    <w:uiPriority w:val="1"/>
  </w:style>
  <w:style w:type="table" w:default="1" w:styleId="20">
    <w:name w:val="Normal Table"/>
    <w:semiHidden/>
    <w:unhideWhenUsed/>
    <w:uiPriority w:val="99"/>
    <w:tblPr>
      <w:tblLayout w:type="fixed"/>
      <w:tblCellMar>
        <w:top w:w="0" w:type="dxa"/>
        <w:left w:w="108" w:type="dxa"/>
        <w:bottom w:w="0" w:type="dxa"/>
        <w:right w:w="108" w:type="dxa"/>
      </w:tblCellMar>
    </w:tblPr>
  </w:style>
  <w:style w:type="paragraph" w:styleId="3">
    <w:name w:val="Title"/>
    <w:basedOn w:val="1"/>
    <w:next w:val="1"/>
    <w:link w:val="38"/>
    <w:qFormat/>
    <w:uiPriority w:val="1"/>
    <w:pPr>
      <w:ind w:firstLine="643"/>
      <w:outlineLvl w:val="0"/>
    </w:pPr>
    <w:rPr>
      <w:rFonts w:asciiTheme="majorHAnsi" w:hAnsiTheme="majorHAnsi" w:cstheme="majorBidi"/>
      <w:b/>
      <w:bCs/>
      <w:szCs w:val="32"/>
    </w:rPr>
  </w:style>
  <w:style w:type="paragraph" w:customStyle="1" w:styleId="5">
    <w:name w:val="标题样式（无缩进）"/>
    <w:link w:val="39"/>
    <w:qFormat/>
    <w:uiPriority w:val="0"/>
    <w:rPr>
      <w:rFonts w:ascii="宋体" w:hAnsi="宋体" w:eastAsia="宋体" w:cs="Times New Roman"/>
      <w:kern w:val="0"/>
      <w:sz w:val="28"/>
      <w:szCs w:val="20"/>
      <w:lang w:val="en-US" w:eastAsia="zh-CN" w:bidi="ar-SA"/>
    </w:rPr>
  </w:style>
  <w:style w:type="paragraph" w:styleId="13">
    <w:name w:val="annotation text"/>
    <w:basedOn w:val="1"/>
    <w:link w:val="41"/>
    <w:unhideWhenUsed/>
    <w:qFormat/>
    <w:uiPriority w:val="99"/>
    <w:pPr>
      <w:autoSpaceDE/>
      <w:autoSpaceDN/>
      <w:adjustRightInd/>
      <w:ind w:firstLine="0" w:firstLineChars="0"/>
    </w:pPr>
    <w:rPr>
      <w:rFonts w:asciiTheme="minorHAnsi" w:hAnsiTheme="minorHAnsi" w:eastAsiaTheme="minorEastAsia" w:cstheme="minorBidi"/>
      <w:kern w:val="2"/>
      <w:sz w:val="21"/>
    </w:rPr>
  </w:style>
  <w:style w:type="paragraph" w:styleId="14">
    <w:name w:val="Body Text"/>
    <w:basedOn w:val="1"/>
    <w:link w:val="40"/>
    <w:qFormat/>
    <w:uiPriority w:val="1"/>
    <w:rPr>
      <w:rFonts w:ascii="Book Antiqua" w:hAnsi="Book Antiqua" w:cs="Book Antiqua" w:eastAsiaTheme="minorEastAsia"/>
      <w:szCs w:val="36"/>
    </w:rPr>
  </w:style>
  <w:style w:type="paragraph" w:styleId="15">
    <w:name w:val="Body Text Indent"/>
    <w:basedOn w:val="1"/>
    <w:link w:val="42"/>
    <w:qFormat/>
    <w:uiPriority w:val="0"/>
    <w:pPr>
      <w:autoSpaceDE/>
      <w:autoSpaceDN/>
      <w:adjustRightInd/>
      <w:spacing w:after="120"/>
      <w:ind w:left="420" w:leftChars="200" w:firstLine="0" w:firstLineChars="0"/>
      <w:jc w:val="both"/>
    </w:pPr>
    <w:rPr>
      <w:rFonts w:asciiTheme="minorHAnsi" w:hAnsiTheme="minorHAnsi" w:eastAsiaTheme="minorEastAsia" w:cstheme="minorBidi"/>
      <w:sz w:val="20"/>
    </w:rPr>
  </w:style>
  <w:style w:type="paragraph" w:styleId="16">
    <w:name w:val="footer"/>
    <w:basedOn w:val="1"/>
    <w:link w:val="43"/>
    <w:unhideWhenUsed/>
    <w:qFormat/>
    <w:uiPriority w:val="99"/>
    <w:pPr>
      <w:tabs>
        <w:tab w:val="center" w:pos="4153"/>
        <w:tab w:val="right" w:pos="8306"/>
      </w:tabs>
      <w:autoSpaceDE/>
      <w:autoSpaceDN/>
      <w:adjustRightInd/>
      <w:snapToGrid w:val="0"/>
      <w:ind w:firstLine="0" w:firstLineChars="0"/>
    </w:pPr>
    <w:rPr>
      <w:rFonts w:asciiTheme="minorHAnsi" w:hAnsiTheme="minorHAnsi" w:eastAsiaTheme="minorEastAsia" w:cstheme="minorBidi"/>
      <w:kern w:val="2"/>
      <w:sz w:val="18"/>
      <w:szCs w:val="18"/>
    </w:rPr>
  </w:style>
  <w:style w:type="paragraph" w:styleId="17">
    <w:name w:val="header"/>
    <w:basedOn w:val="1"/>
    <w:link w:val="44"/>
    <w:unhideWhenUsed/>
    <w:qFormat/>
    <w:uiPriority w:val="99"/>
    <w:pPr>
      <w:pBdr>
        <w:bottom w:val="single" w:color="auto" w:sz="6" w:space="1"/>
      </w:pBdr>
      <w:tabs>
        <w:tab w:val="center" w:pos="4153"/>
        <w:tab w:val="right" w:pos="8306"/>
      </w:tabs>
      <w:autoSpaceDE/>
      <w:autoSpaceDN/>
      <w:adjustRightInd/>
      <w:snapToGrid w:val="0"/>
      <w:ind w:firstLine="0" w:firstLineChars="0"/>
      <w:jc w:val="center"/>
    </w:pPr>
    <w:rPr>
      <w:rFonts w:asciiTheme="minorHAnsi" w:hAnsiTheme="minorHAnsi" w:eastAsiaTheme="minorEastAsia" w:cstheme="minorBidi"/>
      <w:kern w:val="2"/>
      <w:sz w:val="18"/>
      <w:szCs w:val="18"/>
    </w:rPr>
  </w:style>
  <w:style w:type="paragraph" w:styleId="18">
    <w:name w:val="Subtitle"/>
    <w:basedOn w:val="1"/>
    <w:next w:val="1"/>
    <w:link w:val="29"/>
    <w:qFormat/>
    <w:uiPriority w:val="11"/>
    <w:pPr>
      <w:spacing w:before="240" w:after="60" w:line="312" w:lineRule="auto"/>
      <w:jc w:val="center"/>
      <w:outlineLvl w:val="1"/>
    </w:pPr>
    <w:rPr>
      <w:rFonts w:asciiTheme="majorHAnsi" w:hAnsiTheme="majorHAnsi" w:cstheme="majorBidi"/>
      <w:b/>
      <w:bCs/>
      <w:kern w:val="28"/>
      <w:sz w:val="32"/>
      <w:szCs w:val="32"/>
    </w:rPr>
  </w:style>
  <w:style w:type="paragraph" w:styleId="19">
    <w:name w:val="Normal (Web)"/>
    <w:basedOn w:val="1"/>
    <w:qFormat/>
    <w:uiPriority w:val="0"/>
    <w:pPr>
      <w:widowControl/>
      <w:autoSpaceDE/>
      <w:autoSpaceDN/>
      <w:adjustRightInd/>
      <w:spacing w:before="100" w:beforeAutospacing="1" w:after="100" w:afterAutospacing="1"/>
      <w:ind w:firstLine="0" w:firstLineChars="0"/>
    </w:pPr>
    <w:rPr>
      <w:rFonts w:hAnsi="宋体" w:cs="宋体"/>
      <w:szCs w:val="24"/>
    </w:rPr>
  </w:style>
  <w:style w:type="character" w:styleId="22">
    <w:name w:val="Strong"/>
    <w:basedOn w:val="21"/>
    <w:qFormat/>
    <w:uiPriority w:val="22"/>
    <w:rPr>
      <w:rFonts w:eastAsia="宋体"/>
      <w:bCs/>
      <w:sz w:val="28"/>
    </w:rPr>
  </w:style>
  <w:style w:type="character" w:styleId="23">
    <w:name w:val="page number"/>
    <w:qFormat/>
    <w:uiPriority w:val="0"/>
    <w:rPr>
      <w:rFonts w:cs="Times New Roman"/>
    </w:rPr>
  </w:style>
  <w:style w:type="character" w:styleId="24">
    <w:name w:val="Emphasis"/>
    <w:basedOn w:val="21"/>
    <w:qFormat/>
    <w:uiPriority w:val="20"/>
    <w:rPr>
      <w:i/>
      <w:iCs/>
    </w:rPr>
  </w:style>
  <w:style w:type="character" w:styleId="25">
    <w:name w:val="annotation reference"/>
    <w:basedOn w:val="21"/>
    <w:unhideWhenUsed/>
    <w:qFormat/>
    <w:uiPriority w:val="99"/>
    <w:rPr>
      <w:sz w:val="21"/>
      <w:szCs w:val="21"/>
    </w:rPr>
  </w:style>
  <w:style w:type="character" w:customStyle="1" w:styleId="26">
    <w:name w:val="标题 1 Char"/>
    <w:basedOn w:val="21"/>
    <w:link w:val="2"/>
    <w:uiPriority w:val="0"/>
    <w:rPr>
      <w:rFonts w:ascii="宋体" w:hAnsi="宋体" w:eastAsia="宋体" w:cs="Times New Roman"/>
      <w:b/>
      <w:kern w:val="0"/>
      <w:sz w:val="28"/>
      <w:szCs w:val="20"/>
    </w:rPr>
  </w:style>
  <w:style w:type="character" w:customStyle="1" w:styleId="27">
    <w:name w:val="标题 2 Char"/>
    <w:basedOn w:val="21"/>
    <w:link w:val="4"/>
    <w:uiPriority w:val="0"/>
    <w:rPr>
      <w:rFonts w:ascii="宋体" w:hAnsi="宋体" w:eastAsia="宋体" w:cs="Times New Roman"/>
      <w:b/>
      <w:kern w:val="0"/>
      <w:sz w:val="28"/>
      <w:szCs w:val="24"/>
    </w:rPr>
  </w:style>
  <w:style w:type="character" w:customStyle="1" w:styleId="28">
    <w:name w:val="标题 3 Char"/>
    <w:basedOn w:val="21"/>
    <w:link w:val="6"/>
    <w:uiPriority w:val="0"/>
    <w:rPr>
      <w:rFonts w:ascii="宋体" w:hAnsi="宋体" w:eastAsia="宋体" w:cs="Times New Roman"/>
      <w:b/>
      <w:bCs/>
      <w:kern w:val="0"/>
      <w:sz w:val="28"/>
      <w:szCs w:val="32"/>
    </w:rPr>
  </w:style>
  <w:style w:type="character" w:customStyle="1" w:styleId="29">
    <w:name w:val="副标题 Char"/>
    <w:basedOn w:val="21"/>
    <w:link w:val="18"/>
    <w:uiPriority w:val="11"/>
    <w:rPr>
      <w:rFonts w:eastAsia="宋体" w:asciiTheme="majorHAnsi" w:hAnsiTheme="majorHAnsi" w:cstheme="majorBidi"/>
      <w:b/>
      <w:bCs/>
      <w:kern w:val="28"/>
      <w:sz w:val="32"/>
      <w:szCs w:val="32"/>
    </w:rPr>
  </w:style>
  <w:style w:type="paragraph" w:styleId="30">
    <w:name w:val="List Paragraph"/>
    <w:basedOn w:val="1"/>
    <w:qFormat/>
    <w:uiPriority w:val="99"/>
    <w:pPr>
      <w:ind w:firstLine="420"/>
    </w:pPr>
  </w:style>
  <w:style w:type="character" w:customStyle="1" w:styleId="31">
    <w:name w:val="Subtle Emphasis"/>
    <w:basedOn w:val="21"/>
    <w:qFormat/>
    <w:uiPriority w:val="19"/>
    <w:rPr>
      <w:i/>
      <w:iCs/>
      <w:color w:val="404040" w:themeColor="text1" w:themeTint="BF"/>
      <w14:textFill>
        <w14:solidFill>
          <w14:schemeClr w14:val="tx1">
            <w14:lumMod w14:val="75000"/>
            <w14:lumOff w14:val="25000"/>
          </w14:schemeClr>
        </w14:solidFill>
      </w14:textFill>
    </w:rPr>
  </w:style>
  <w:style w:type="character" w:customStyle="1" w:styleId="32">
    <w:name w:val="标题 4 Char"/>
    <w:basedOn w:val="21"/>
    <w:link w:val="7"/>
    <w:uiPriority w:val="0"/>
    <w:rPr>
      <w:rFonts w:ascii="宋体" w:hAnsi="宋体" w:eastAsia="宋体" w:cstheme="majorBidi"/>
      <w:b/>
      <w:bCs/>
      <w:kern w:val="0"/>
      <w:sz w:val="28"/>
      <w:szCs w:val="28"/>
    </w:rPr>
  </w:style>
  <w:style w:type="character" w:customStyle="1" w:styleId="33">
    <w:name w:val="标题 5 Char"/>
    <w:basedOn w:val="21"/>
    <w:link w:val="8"/>
    <w:uiPriority w:val="0"/>
    <w:rPr>
      <w:rFonts w:ascii="宋体" w:hAnsi="宋体" w:eastAsia="宋体" w:cs="Times New Roman"/>
      <w:b/>
      <w:bCs/>
      <w:kern w:val="0"/>
      <w:sz w:val="28"/>
      <w:szCs w:val="28"/>
    </w:rPr>
  </w:style>
  <w:style w:type="character" w:customStyle="1" w:styleId="34">
    <w:name w:val="标题 6 Char"/>
    <w:basedOn w:val="21"/>
    <w:link w:val="9"/>
    <w:uiPriority w:val="0"/>
    <w:rPr>
      <w:rFonts w:eastAsia="宋体" w:asciiTheme="majorHAnsi" w:hAnsiTheme="majorHAnsi" w:cstheme="majorBidi"/>
      <w:b/>
      <w:bCs/>
      <w:kern w:val="0"/>
      <w:sz w:val="24"/>
      <w:szCs w:val="24"/>
    </w:rPr>
  </w:style>
  <w:style w:type="character" w:customStyle="1" w:styleId="35">
    <w:name w:val="标题 7 Char"/>
    <w:basedOn w:val="21"/>
    <w:link w:val="10"/>
    <w:uiPriority w:val="0"/>
    <w:rPr>
      <w:rFonts w:ascii="宋体" w:hAnsi="宋体" w:eastAsia="宋体" w:cs="Times New Roman"/>
      <w:b/>
      <w:bCs/>
      <w:kern w:val="0"/>
      <w:sz w:val="24"/>
      <w:szCs w:val="24"/>
    </w:rPr>
  </w:style>
  <w:style w:type="character" w:customStyle="1" w:styleId="36">
    <w:name w:val="标题 8 Char"/>
    <w:basedOn w:val="21"/>
    <w:link w:val="11"/>
    <w:uiPriority w:val="0"/>
    <w:rPr>
      <w:rFonts w:eastAsia="宋体" w:asciiTheme="majorHAnsi" w:hAnsiTheme="majorHAnsi" w:cstheme="majorBidi"/>
      <w:b/>
      <w:kern w:val="0"/>
      <w:sz w:val="24"/>
      <w:szCs w:val="24"/>
    </w:rPr>
  </w:style>
  <w:style w:type="character" w:customStyle="1" w:styleId="37">
    <w:name w:val="标题 9 Char"/>
    <w:basedOn w:val="21"/>
    <w:link w:val="12"/>
    <w:uiPriority w:val="0"/>
    <w:rPr>
      <w:rFonts w:eastAsia="宋体" w:asciiTheme="majorHAnsi" w:hAnsiTheme="majorHAnsi" w:cstheme="majorBidi"/>
      <w:b/>
      <w:kern w:val="0"/>
      <w:sz w:val="24"/>
      <w:szCs w:val="20"/>
    </w:rPr>
  </w:style>
  <w:style w:type="character" w:customStyle="1" w:styleId="38">
    <w:name w:val="标题 Char"/>
    <w:basedOn w:val="21"/>
    <w:link w:val="3"/>
    <w:uiPriority w:val="1"/>
    <w:rPr>
      <w:rFonts w:eastAsia="宋体" w:asciiTheme="majorHAnsi" w:hAnsiTheme="majorHAnsi" w:cstheme="majorBidi"/>
      <w:b/>
      <w:bCs/>
      <w:sz w:val="28"/>
      <w:szCs w:val="32"/>
    </w:rPr>
  </w:style>
  <w:style w:type="character" w:customStyle="1" w:styleId="39">
    <w:name w:val="标题样式（无缩进） Char"/>
    <w:basedOn w:val="26"/>
    <w:link w:val="5"/>
    <w:uiPriority w:val="0"/>
    <w:rPr>
      <w:rFonts w:ascii="宋体" w:hAnsi="宋体" w:eastAsia="宋体" w:cs="Times New Roman"/>
      <w:kern w:val="0"/>
      <w:sz w:val="28"/>
      <w:szCs w:val="20"/>
    </w:rPr>
  </w:style>
  <w:style w:type="character" w:customStyle="1" w:styleId="40">
    <w:name w:val="正文文本 Char"/>
    <w:basedOn w:val="21"/>
    <w:link w:val="14"/>
    <w:uiPriority w:val="1"/>
    <w:rPr>
      <w:rFonts w:ascii="Book Antiqua" w:hAnsi="Book Antiqua" w:cs="Book Antiqua"/>
      <w:kern w:val="0"/>
      <w:sz w:val="28"/>
      <w:szCs w:val="36"/>
    </w:rPr>
  </w:style>
  <w:style w:type="character" w:customStyle="1" w:styleId="41">
    <w:name w:val="批注文字 Char"/>
    <w:basedOn w:val="21"/>
    <w:link w:val="13"/>
    <w:qFormat/>
    <w:uiPriority w:val="99"/>
    <w:rPr>
      <w:szCs w:val="22"/>
    </w:rPr>
  </w:style>
  <w:style w:type="character" w:customStyle="1" w:styleId="42">
    <w:name w:val="正文文本缩进 Char"/>
    <w:basedOn w:val="21"/>
    <w:link w:val="15"/>
    <w:uiPriority w:val="0"/>
    <w:rPr>
      <w:kern w:val="0"/>
      <w:sz w:val="20"/>
      <w:szCs w:val="22"/>
    </w:rPr>
  </w:style>
  <w:style w:type="character" w:customStyle="1" w:styleId="43">
    <w:name w:val="页脚 Char"/>
    <w:basedOn w:val="21"/>
    <w:link w:val="16"/>
    <w:qFormat/>
    <w:uiPriority w:val="99"/>
    <w:rPr>
      <w:sz w:val="18"/>
      <w:szCs w:val="18"/>
    </w:rPr>
  </w:style>
  <w:style w:type="character" w:customStyle="1" w:styleId="44">
    <w:name w:val="页眉 Char"/>
    <w:basedOn w:val="21"/>
    <w:link w:val="17"/>
    <w:qFormat/>
    <w:uiPriority w:val="99"/>
    <w:rPr>
      <w:sz w:val="18"/>
      <w:szCs w:val="18"/>
    </w:rPr>
  </w:style>
  <w:style w:type="paragraph" w:customStyle="1" w:styleId="45">
    <w:name w:val="列表段落1"/>
    <w:basedOn w:val="1"/>
    <w:qFormat/>
    <w:uiPriority w:val="99"/>
    <w:pPr>
      <w:autoSpaceDE/>
      <w:autoSpaceDN/>
      <w:adjustRightInd/>
      <w:ind w:firstLine="420"/>
      <w:jc w:val="both"/>
    </w:pPr>
    <w:rPr>
      <w:rFonts w:ascii="Times New Roman" w:cs="Times New Roman"/>
      <w:kern w:val="2"/>
      <w:sz w:val="21"/>
      <w:szCs w:val="24"/>
    </w:rPr>
  </w:style>
  <w:style w:type="paragraph" w:customStyle="1" w:styleId="46">
    <w:name w:val="无间隔1"/>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47">
    <w:name w:val="列出段落2"/>
    <w:basedOn w:val="1"/>
    <w:unhideWhenUsed/>
    <w:qFormat/>
    <w:uiPriority w:val="99"/>
    <w:pPr>
      <w:autoSpaceDE/>
      <w:autoSpaceDN/>
      <w:adjustRightInd/>
      <w:ind w:firstLine="420"/>
      <w:jc w:val="both"/>
    </w:pPr>
    <w:rPr>
      <w:rFonts w:ascii="Calibri" w:hAnsi="Calibri" w:cs="Times New Roman"/>
      <w:kern w:val="2"/>
      <w:sz w:val="21"/>
    </w:rPr>
  </w:style>
  <w:style w:type="paragraph" w:customStyle="1" w:styleId="48">
    <w:name w:val="Table Paragraph"/>
    <w:basedOn w:val="1"/>
    <w:qFormat/>
    <w:uiPriority w:val="1"/>
    <w:pPr>
      <w:autoSpaceDE/>
      <w:autoSpaceDN/>
      <w:adjustRightInd/>
      <w:ind w:firstLine="0" w:firstLineChars="0"/>
    </w:pPr>
    <w:rPr>
      <w:rFonts w:asciiTheme="minorHAnsi" w:hAnsiTheme="minorHAnsi" w:eastAsiaTheme="minorEastAsia" w:cstheme="minorBidi"/>
      <w:sz w:val="22"/>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31</Pages>
  <Words>4565</Words>
  <Characters>26021</Characters>
  <Lines>216</Lines>
  <Paragraphs>61</Paragraphs>
  <TotalTime>19</TotalTime>
  <ScaleCrop>false</ScaleCrop>
  <LinksUpToDate>false</LinksUpToDate>
  <CharactersWithSpaces>30525</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2025-01-20T05:47:00Z</dcterms:created>
  <dc:creator>HYM</dc:creator>
  <cp:lastModifiedBy>孙仕倩(资产管理部)</cp:lastModifiedBy>
  <dcterms:modified xsi:type="dcterms:W3CDTF">2025-01-20T08:52:16Z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