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firstLine="2520" w:firstLineChars="700"/>
        <w:jc w:val="both"/>
        <w:textAlignment w:val="auto"/>
        <w:outlineLvl w:val="0"/>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公募基金风险揭示书</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尊敬的投资者:</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投资有风险,投资需谨慎。公开募集证券投资基金(以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下简称“基金”)是一种长期投资工具,其主要功能是分散投资,降低投资单一证券所带来的个别风险。基金不同于银行储蓄等能够提供固定收益预期的金融工具,当您购买基金产品时,既可能按持有份额分享基金投资所产生的收益,也可能承担基金投资所带来的损失。</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您在做出投资决策之前,请仔细阅读基金合同、基金招募说明书和基金产品资料概要等产品法律文件和本风险揭示书,充分认识本基金的风险收益特征和产品特性,认真考虑本基金存在的各项风险因素,并根据自身的投资目的、投资期限、投资经验、资产状况等因素充分考虑自身的风险承受受能力,在了解产品情况及销售适当性意见的基础上,理性判断并谨慎做出投资决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根据有关法律法规,基金管理人/基金销售机构【湖北银行】做出如下风险揭示: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依据投资对象的不同,基金分为股票基金、混合基金债券基金、货币市场基金、基金中基金、商品基金等不同类型,您投资不同类型的基金将获得不同的收益预期,也将承担不同程度的风险。一般来说,基金的收益预期越高,您承</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担的风险也越大。</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二、基金在投资运作过程中可能面临各种风险，既包括</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市场风险，也包括基金自身的管理风险、技术风险和合规风</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险等。巨额赎回风险是开放式基金所特有的一种风险，即当</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单个开放日基金的净赎回申请超过基金总份额的一定比例</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(开放式基金为百分之十，定期开放基金为百分之二十，中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国证监会规定的特殊产品除外)时，您将可能无法及时赎回</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申请的全部基金份额，或您赎回的款项可能延缓支付。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三、您应当充分了解基金定期定额投资和零存整取等储</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蓄方式的区别。定期定额投资是引导投资者进行长期投资</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平均投资成本的一种简单易行的投资方式，但并不能规避基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金投资所固有的风险，不能保证投资者获得收益，也不是替</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代储蓄的等效理财方式。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四、特殊类型产品风险揭示：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如果您购买的产品为养老目标基金，产品“养老”的名称不代表收益保障或其他任何形式的收益承诺，产品不保本，可能发生亏损。请您仔细阅读专门风险揭示书，确认了解产品特征。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如果您购买的产品为货币市场基金，购买货币市场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基金并不等于将资金作为存款存放在银行或者存款类金融机构，基金管理人不保证基金一定盈利，也不保证最低收益。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如果您购买的产品投资于境外证券，除了需要承担与境内证券投资基金类似的市场波动风险等一般投资风险之外，本基金还面临汇率风险等境外证券市场投资所面临的</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特别投资风险。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如果您购买的产品以定期开放方式运作或者基金合同约定了基金份额最短持有期限，在封闭期或者最短持有期</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限内，您将面临因不能赎回或卖出基金份额而出现的流动性</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约束。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五、基金管理人承诺以诚实信用、勤勉尽责的原则管理</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和运用基金资产，但不保证本基金一定盈利，也不保证最低</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收益。本基金的过往业绩及其净值高低并不预示其未来业绩</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表现，基金管理人管理的其他基金的业绩并不构成对本基金</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业绩表现的保证。【湖北银行】提醒您基金投资的“买者自负”原则，在做出投资决策后，基金运营状况与基金净值变化引致的投资风险，由您自行负担。基金管理人、基金托管人、基金销售机构及相关机构不对基金投资收益做出任何承诺或保证。</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single"/>
          <w:lang w:eastAsia="zh-CN"/>
        </w:rPr>
        <w:t>基金产品全称</w:t>
      </w:r>
      <w:r>
        <w:rPr>
          <w:rFonts w:hint="eastAsia" w:ascii="仿宋_GB2312" w:hAnsi="仿宋_GB2312" w:eastAsia="仿宋_GB2312" w:cs="仿宋_GB2312"/>
          <w:sz w:val="32"/>
          <w:szCs w:val="32"/>
          <w:lang w:eastAsia="zh-CN"/>
        </w:rPr>
        <w:t>】(以下简称“本基金”)由【</w:t>
      </w:r>
      <w:r>
        <w:rPr>
          <w:rFonts w:hint="eastAsia" w:ascii="仿宋_GB2312" w:hAnsi="仿宋_GB2312" w:eastAsia="仿宋_GB2312" w:cs="仿宋_GB2312"/>
          <w:sz w:val="32"/>
          <w:szCs w:val="32"/>
          <w:u w:val="single"/>
          <w:lang w:eastAsia="zh-CN"/>
        </w:rPr>
        <w:t>基金管理人全称</w:t>
      </w:r>
      <w:r>
        <w:rPr>
          <w:rFonts w:hint="eastAsia" w:ascii="仿宋_GB2312" w:hAnsi="仿宋_GB2312" w:eastAsia="仿宋_GB2312" w:cs="仿宋_GB2312"/>
          <w:sz w:val="32"/>
          <w:szCs w:val="32"/>
          <w:lang w:eastAsia="zh-CN"/>
        </w:rPr>
        <w:t>】(以下简称“基金管理人”)依照有关法律法规及约定申请募集，并经中国证券监督管理委员会(以下简称“中国证监会”)许可注册。本基金的基金合同、基金招募说明书和基金产品资料概要已通过中国证监会基金电子披露网站【</w:t>
      </w:r>
      <w:r>
        <w:rPr>
          <w:rFonts w:hint="eastAsia" w:hAnsi="仿宋_GB2312" w:eastAsia="仿宋_GB2312" w:cs="仿宋_GB2312" w:asciiTheme="minorAscii"/>
          <w:sz w:val="32"/>
          <w:szCs w:val="32"/>
          <w:lang w:val="en-US" w:eastAsia="zh-CN"/>
        </w:rPr>
        <w:t>http//:eid.cerc.gov.cn/fund</w:t>
      </w:r>
      <w:r>
        <w:rPr>
          <w:rFonts w:hint="eastAsia" w:ascii="仿宋_GB2312" w:hAnsi="仿宋_GB2312" w:eastAsia="仿宋_GB2312" w:cs="仿宋_GB2312"/>
          <w:sz w:val="32"/>
          <w:szCs w:val="32"/>
          <w:lang w:eastAsia="zh-CN"/>
        </w:rPr>
        <w:t>】和基金管理人网站【基金公司</w:t>
      </w:r>
      <w:r>
        <w:rPr>
          <w:rFonts w:hint="eastAsia" w:ascii="仿宋_GB2312" w:hAnsi="仿宋_GB2312" w:eastAsia="仿宋_GB2312" w:cs="仿宋_GB2312"/>
          <w:sz w:val="32"/>
          <w:szCs w:val="32"/>
          <w:u w:val="single"/>
          <w:lang w:eastAsia="zh-CN"/>
        </w:rPr>
        <w:t>网站链接地址</w:t>
      </w:r>
      <w:r>
        <w:rPr>
          <w:rFonts w:hint="eastAsia" w:ascii="仿宋_GB2312" w:hAnsi="仿宋_GB2312" w:eastAsia="仿宋_GB2312" w:cs="仿宋_GB2312"/>
          <w:sz w:val="32"/>
          <w:szCs w:val="32"/>
          <w:lang w:eastAsia="zh-CN"/>
        </w:rPr>
        <w:t>】进行了公开披露。中国证监会对本基金的注册，并不表明其对本基金的投资价值、市场前景和收益作出实质性判断或保证，也不表明投资于本基金没有风险。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A01B15"/>
    <w:multiLevelType w:val="singleLevel"/>
    <w:tmpl w:val="79A01B1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94A8D"/>
    <w:rsid w:val="00BD337A"/>
    <w:rsid w:val="027E0F1F"/>
    <w:rsid w:val="0B596A76"/>
    <w:rsid w:val="1450205F"/>
    <w:rsid w:val="151E3A6C"/>
    <w:rsid w:val="183C4301"/>
    <w:rsid w:val="1A410C4A"/>
    <w:rsid w:val="1BA95956"/>
    <w:rsid w:val="1C4900BD"/>
    <w:rsid w:val="1FC1493F"/>
    <w:rsid w:val="20487B81"/>
    <w:rsid w:val="25C33E77"/>
    <w:rsid w:val="2BC50061"/>
    <w:rsid w:val="2C657D79"/>
    <w:rsid w:val="31BE4C4A"/>
    <w:rsid w:val="326A7B2B"/>
    <w:rsid w:val="33811EF1"/>
    <w:rsid w:val="34FD561B"/>
    <w:rsid w:val="362C4165"/>
    <w:rsid w:val="3B7F17FE"/>
    <w:rsid w:val="3CEA1992"/>
    <w:rsid w:val="3F386C84"/>
    <w:rsid w:val="4966318C"/>
    <w:rsid w:val="4C3D3A0C"/>
    <w:rsid w:val="4FBD67C7"/>
    <w:rsid w:val="53FA3C4E"/>
    <w:rsid w:val="552D486A"/>
    <w:rsid w:val="5F0F78B1"/>
    <w:rsid w:val="5FAC66FB"/>
    <w:rsid w:val="6A7F6D17"/>
    <w:rsid w:val="6BD074D2"/>
    <w:rsid w:val="6D1D4E45"/>
    <w:rsid w:val="6F2753CF"/>
    <w:rsid w:val="719877C4"/>
    <w:rsid w:val="75D97649"/>
    <w:rsid w:val="76095D2C"/>
    <w:rsid w:val="7BB84DF2"/>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uiPriority w:val="1"/>
  </w:style>
  <w:style w:type="table" w:default="1" w:styleId="2">
    <w:name w:val="Normal Table"/>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1707</Words>
  <Characters>1707</Characters>
  <Paragraphs>77</Paragraphs>
  <TotalTime>2</TotalTime>
  <ScaleCrop>false</ScaleCrop>
  <LinksUpToDate>false</LinksUpToDate>
  <CharactersWithSpaces>1707</CharactersWithSpaces>
  <Application>WPS Office_11.8.2.8621_F1E327BC-269C-435d-A152-05C5408002CA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2021-04-27T07:46:00Z</dcterms:created>
  <dc:creator>ANA-AN00</dc:creator>
  <cp:lastModifiedBy>刘成</cp:lastModifiedBy>
  <dcterms:modified xsi:type="dcterms:W3CDTF">2021-07-06T08:32:03Z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c25b4f3d271d4a52b6e0adf9d2c39ec0</vt:lpwstr>
  </property>
  <property fmtid="{D5CDD505-2E9C-101B-9397-08002B2CF9AE}" pid="3" name="KSOProductBuildVer">
    <vt:lpwstr>2052-11.8.2.8621</vt:lpwstr>
  </property>
</Properties>
</file>